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6B" w:rsidRPr="0048321A" w:rsidRDefault="00916068" w:rsidP="00953362">
      <w:pPr>
        <w:tabs>
          <w:tab w:val="left" w:pos="574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321A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916068" w:rsidRPr="0048321A" w:rsidRDefault="00916068" w:rsidP="00953362">
      <w:pPr>
        <w:tabs>
          <w:tab w:val="left" w:pos="574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32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ОПШТИНА МИОНИЦА </w:t>
      </w:r>
    </w:p>
    <w:p w:rsidR="00916068" w:rsidRPr="0048321A" w:rsidRDefault="00916068" w:rsidP="00953362">
      <w:pPr>
        <w:tabs>
          <w:tab w:val="left" w:pos="574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321A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 УПРАВА</w:t>
      </w:r>
    </w:p>
    <w:p w:rsidR="00916068" w:rsidRPr="0048321A" w:rsidRDefault="00916068" w:rsidP="00953362">
      <w:pPr>
        <w:tabs>
          <w:tab w:val="left" w:pos="574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8321A">
        <w:rPr>
          <w:rFonts w:ascii="Times New Roman" w:hAnsi="Times New Roman" w:cs="Times New Roman"/>
          <w:b/>
          <w:sz w:val="24"/>
          <w:szCs w:val="24"/>
          <w:lang w:val="sr-Cyrl-CS"/>
        </w:rPr>
        <w:t>Одељење за буџет и финансије</w:t>
      </w:r>
    </w:p>
    <w:p w:rsidR="00916068" w:rsidRPr="00B759C2" w:rsidRDefault="00B759C2" w:rsidP="00953362">
      <w:pPr>
        <w:tabs>
          <w:tab w:val="left" w:pos="57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Број:400-</w:t>
      </w:r>
      <w:r w:rsidR="00D64F6B">
        <w:rPr>
          <w:rFonts w:ascii="Times New Roman" w:hAnsi="Times New Roman" w:cs="Times New Roman"/>
          <w:b/>
          <w:sz w:val="24"/>
          <w:szCs w:val="24"/>
        </w:rPr>
        <w:t>74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916068" w:rsidRPr="0048321A" w:rsidRDefault="00B759C2" w:rsidP="00953362">
      <w:pPr>
        <w:tabs>
          <w:tab w:val="left" w:pos="574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 w:rsidR="00D64F6B">
        <w:rPr>
          <w:rFonts w:ascii="Times New Roman" w:hAnsi="Times New Roman" w:cs="Times New Roman"/>
          <w:b/>
          <w:sz w:val="24"/>
          <w:szCs w:val="24"/>
        </w:rPr>
        <w:t>27.07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16068" w:rsidRPr="0048321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.година </w:t>
      </w:r>
    </w:p>
    <w:p w:rsidR="00916068" w:rsidRPr="00916068" w:rsidRDefault="00916068" w:rsidP="00953362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016B" w:rsidRDefault="0041016B" w:rsidP="00953362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016B" w:rsidRDefault="0041016B" w:rsidP="00953362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016B" w:rsidRDefault="0041016B" w:rsidP="00953362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07D87" w:rsidRPr="008C02FD" w:rsidRDefault="00B07D87" w:rsidP="00953362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7D87">
        <w:rPr>
          <w:rFonts w:ascii="Times New Roman" w:hAnsi="Times New Roman" w:cs="Times New Roman"/>
          <w:sz w:val="24"/>
          <w:szCs w:val="24"/>
        </w:rPr>
        <w:t>На основу члана 40. Закона о буџетском систему (''Сл.гласник РС'', бр. 54/09, 73/10, 101/10, 101/11, 62/13, 63/13, 108/13, 142/2014</w:t>
      </w:r>
      <w:r w:rsidR="00F04E91">
        <w:rPr>
          <w:rFonts w:ascii="Times New Roman" w:hAnsi="Times New Roman" w:cs="Times New Roman"/>
          <w:sz w:val="24"/>
          <w:szCs w:val="24"/>
        </w:rPr>
        <w:t>,</w:t>
      </w:r>
      <w:r w:rsidR="00B759C2">
        <w:rPr>
          <w:rFonts w:ascii="Times New Roman" w:hAnsi="Times New Roman" w:cs="Times New Roman"/>
          <w:sz w:val="24"/>
          <w:szCs w:val="24"/>
        </w:rPr>
        <w:t>103/15,</w:t>
      </w:r>
      <w:r w:rsidR="00F04E91">
        <w:rPr>
          <w:rFonts w:ascii="Times New Roman" w:hAnsi="Times New Roman" w:cs="Times New Roman"/>
          <w:sz w:val="24"/>
          <w:szCs w:val="24"/>
        </w:rPr>
        <w:t xml:space="preserve"> 99/2016</w:t>
      </w:r>
      <w:r w:rsidR="00B759C2">
        <w:rPr>
          <w:rFonts w:ascii="Times New Roman" w:hAnsi="Times New Roman" w:cs="Times New Roman"/>
          <w:sz w:val="24"/>
          <w:szCs w:val="24"/>
        </w:rPr>
        <w:t xml:space="preserve"> и 113/17</w:t>
      </w:r>
      <w:r w:rsidRPr="00B07D87">
        <w:rPr>
          <w:rFonts w:ascii="Times New Roman" w:hAnsi="Times New Roman" w:cs="Times New Roman"/>
          <w:sz w:val="24"/>
          <w:szCs w:val="24"/>
        </w:rPr>
        <w:t>), Општинска</w:t>
      </w:r>
      <w:r w:rsidR="00916068">
        <w:rPr>
          <w:rFonts w:ascii="Times New Roman" w:hAnsi="Times New Roman" w:cs="Times New Roman"/>
          <w:sz w:val="24"/>
          <w:szCs w:val="24"/>
        </w:rPr>
        <w:t xml:space="preserve"> управа </w:t>
      </w:r>
      <w:r w:rsidR="008C02FD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</w:t>
      </w:r>
      <w:r w:rsidR="00916068">
        <w:rPr>
          <w:rFonts w:ascii="Times New Roman" w:hAnsi="Times New Roman" w:cs="Times New Roman"/>
          <w:sz w:val="24"/>
          <w:szCs w:val="24"/>
          <w:lang w:val="sr-Cyrl-CS"/>
        </w:rPr>
        <w:t>Мионица-Одељење за буџет и финансије,</w:t>
      </w:r>
      <w:r w:rsidR="008C02FD">
        <w:rPr>
          <w:rFonts w:ascii="Times New Roman" w:hAnsi="Times New Roman" w:cs="Times New Roman"/>
          <w:sz w:val="24"/>
          <w:szCs w:val="24"/>
        </w:rPr>
        <w:t>до</w:t>
      </w:r>
      <w:r w:rsidR="008C02FD">
        <w:rPr>
          <w:rFonts w:ascii="Times New Roman" w:hAnsi="Times New Roman" w:cs="Times New Roman"/>
          <w:sz w:val="24"/>
          <w:szCs w:val="24"/>
          <w:lang w:val="sr-Cyrl-CS"/>
        </w:rPr>
        <w:t>носи</w:t>
      </w:r>
    </w:p>
    <w:p w:rsidR="00B07D87" w:rsidRPr="00B07D87" w:rsidRDefault="00B07D87" w:rsidP="009533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7D87" w:rsidRPr="00B07D87" w:rsidRDefault="00B07D87" w:rsidP="00B07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5204" w:rsidRDefault="00FB5204" w:rsidP="00B07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FB5204" w:rsidRDefault="00FB5204" w:rsidP="00B07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FB5204" w:rsidRDefault="00FB5204" w:rsidP="00B07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FB5204" w:rsidRDefault="00FB5204" w:rsidP="008259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B07D87" w:rsidRPr="00916068" w:rsidRDefault="00B07D87" w:rsidP="008259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 w:rsidRPr="00916068">
        <w:rPr>
          <w:rFonts w:ascii="Times New Roman" w:hAnsi="Times New Roman" w:cs="Times New Roman"/>
          <w:b/>
          <w:bCs/>
          <w:color w:val="000000"/>
          <w:sz w:val="52"/>
          <w:szCs w:val="52"/>
        </w:rPr>
        <w:t>УПУТСТВО</w:t>
      </w:r>
    </w:p>
    <w:p w:rsidR="002972FF" w:rsidRDefault="00B07D87" w:rsidP="008259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</w:pPr>
      <w:r w:rsidRPr="00916068">
        <w:rPr>
          <w:rFonts w:ascii="Times New Roman" w:hAnsi="Times New Roman" w:cs="Times New Roman"/>
          <w:b/>
          <w:bCs/>
          <w:color w:val="000000"/>
          <w:sz w:val="40"/>
          <w:szCs w:val="40"/>
        </w:rPr>
        <w:t>ЗА</w:t>
      </w:r>
      <w:r w:rsidR="00916068" w:rsidRPr="00916068"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  <w:t xml:space="preserve"> </w:t>
      </w:r>
      <w:r w:rsidRPr="0091606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ПРИПРЕМУ</w:t>
      </w:r>
      <w:r w:rsidR="00916068" w:rsidRPr="00916068"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  <w:t xml:space="preserve"> </w:t>
      </w:r>
      <w:r w:rsidR="008C02FD"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  <w:t xml:space="preserve"> ОДЛУКЕ</w:t>
      </w:r>
      <w:r w:rsidRPr="0091606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8C02FD"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  <w:t xml:space="preserve"> О </w:t>
      </w:r>
      <w:r w:rsidRPr="00916068">
        <w:rPr>
          <w:rFonts w:ascii="Times New Roman" w:hAnsi="Times New Roman" w:cs="Times New Roman"/>
          <w:b/>
          <w:bCs/>
          <w:color w:val="000000"/>
          <w:sz w:val="40"/>
          <w:szCs w:val="40"/>
        </w:rPr>
        <w:t>БУЏЕТА ОПШТИНЕ</w:t>
      </w:r>
      <w:r w:rsidR="00A378ED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91606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916068" w:rsidRPr="00916068"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  <w:t>МИОНИЦА</w:t>
      </w:r>
      <w:r w:rsidRPr="0091606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ЗА 201</w:t>
      </w:r>
      <w:r w:rsidR="00B759C2">
        <w:rPr>
          <w:rFonts w:ascii="Times New Roman" w:hAnsi="Times New Roman" w:cs="Times New Roman"/>
          <w:b/>
          <w:bCs/>
          <w:color w:val="000000"/>
          <w:sz w:val="40"/>
          <w:szCs w:val="40"/>
        </w:rPr>
        <w:t>9</w:t>
      </w:r>
      <w:r w:rsidRPr="00916068">
        <w:rPr>
          <w:rFonts w:ascii="Times New Roman" w:hAnsi="Times New Roman" w:cs="Times New Roman"/>
          <w:b/>
          <w:bCs/>
          <w:color w:val="000000"/>
          <w:sz w:val="40"/>
          <w:szCs w:val="40"/>
        </w:rPr>
        <w:t>. ГОДИНУ</w:t>
      </w:r>
      <w:r w:rsidR="00B759C2"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  <w:t xml:space="preserve"> </w:t>
      </w:r>
    </w:p>
    <w:p w:rsidR="00B759C2" w:rsidRPr="00916068" w:rsidRDefault="00B759C2" w:rsidP="008259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val="sr-Cyrl-CS"/>
        </w:rPr>
      </w:pPr>
    </w:p>
    <w:p w:rsidR="002972FF" w:rsidRDefault="002972FF" w:rsidP="008259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2972FF" w:rsidRPr="00B759C2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72FF" w:rsidRDefault="002972FF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B07D87" w:rsidRPr="00B07D87" w:rsidRDefault="00B07D87" w:rsidP="00B0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916068" w:rsidRDefault="00916068" w:rsidP="00055070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16068" w:rsidRDefault="00916068" w:rsidP="00055070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16068" w:rsidRDefault="00916068" w:rsidP="00055070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16068" w:rsidRDefault="00916068" w:rsidP="00055070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65274" w:rsidRDefault="00965274" w:rsidP="00E663F1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D87" w:rsidRDefault="00B07D87" w:rsidP="00E663F1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3F1">
        <w:rPr>
          <w:rFonts w:ascii="Times New Roman" w:hAnsi="Times New Roman" w:cs="Times New Roman"/>
          <w:b/>
          <w:sz w:val="24"/>
          <w:szCs w:val="24"/>
        </w:rPr>
        <w:lastRenderedPageBreak/>
        <w:t>УВОД</w:t>
      </w:r>
    </w:p>
    <w:p w:rsidR="00F05CCC" w:rsidRPr="00F05CCC" w:rsidRDefault="00F05CCC" w:rsidP="00E663F1">
      <w:pPr>
        <w:tabs>
          <w:tab w:val="left" w:pos="5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274" w:rsidRDefault="00CF24DA" w:rsidP="00F05CCC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p w:rsidR="00965274" w:rsidRDefault="00965274" w:rsidP="00F05CCC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p w:rsidR="00E663F1" w:rsidRPr="001A45B1" w:rsidRDefault="003F60D2" w:rsidP="00F05CCC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F05CCC" w:rsidRPr="00F05CCC">
        <w:rPr>
          <w:rFonts w:ascii="Times New Roman" w:hAnsi="Times New Roman" w:cs="Times New Roman"/>
          <w:sz w:val="24"/>
          <w:szCs w:val="24"/>
          <w:lang w:val="sr-Cyrl-CS"/>
        </w:rPr>
        <w:t>Упутство</w:t>
      </w:r>
      <w:r w:rsidR="001A4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CCC">
        <w:rPr>
          <w:rFonts w:ascii="Times New Roman" w:hAnsi="Times New Roman" w:cs="Times New Roman"/>
          <w:sz w:val="24"/>
          <w:szCs w:val="24"/>
          <w:lang w:val="sr-Cyrl-CS"/>
        </w:rPr>
        <w:t xml:space="preserve">садржи основне економске претпоставке,смернице ,оквире и рокове  на </w:t>
      </w:r>
      <w:r w:rsidR="00CF24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5CCC">
        <w:rPr>
          <w:rFonts w:ascii="Times New Roman" w:hAnsi="Times New Roman" w:cs="Times New Roman"/>
          <w:sz w:val="24"/>
          <w:szCs w:val="24"/>
          <w:lang w:val="sr-Cyrl-CS"/>
        </w:rPr>
        <w:t>основу којих су буџетски корисници у обавези да израде Предлог финансијс</w:t>
      </w:r>
      <w:r w:rsidR="001A45B1">
        <w:rPr>
          <w:rFonts w:ascii="Times New Roman" w:hAnsi="Times New Roman" w:cs="Times New Roman"/>
          <w:sz w:val="24"/>
          <w:szCs w:val="24"/>
          <w:lang w:val="sr-Cyrl-CS"/>
        </w:rPr>
        <w:t>ког плана за 2019.годину</w:t>
      </w:r>
      <w:r w:rsidR="001A45B1">
        <w:rPr>
          <w:rFonts w:ascii="Times New Roman" w:hAnsi="Times New Roman" w:cs="Times New Roman"/>
          <w:sz w:val="24"/>
          <w:szCs w:val="24"/>
        </w:rPr>
        <w:t>.</w:t>
      </w:r>
    </w:p>
    <w:p w:rsidR="00F05CCC" w:rsidRDefault="00CF24DA" w:rsidP="00F05CCC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F05CCC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 припреме </w:t>
      </w:r>
      <w:r w:rsidR="00BB3614">
        <w:rPr>
          <w:rFonts w:ascii="Times New Roman" w:hAnsi="Times New Roman" w:cs="Times New Roman"/>
          <w:sz w:val="24"/>
          <w:szCs w:val="24"/>
          <w:lang w:val="sr-Cyrl-CS"/>
        </w:rPr>
        <w:t>и доношења буџета локалне власт</w:t>
      </w:r>
      <w:r w:rsidR="00F05CCC">
        <w:rPr>
          <w:rFonts w:ascii="Times New Roman" w:hAnsi="Times New Roman" w:cs="Times New Roman"/>
          <w:sz w:val="24"/>
          <w:szCs w:val="24"/>
          <w:lang w:val="sr-Cyrl-CS"/>
        </w:rPr>
        <w:t xml:space="preserve">и уређен је Законом о буџетском систему </w:t>
      </w:r>
      <w:r w:rsidR="00F05CCC" w:rsidRPr="00B07D87">
        <w:rPr>
          <w:rFonts w:ascii="Times New Roman" w:hAnsi="Times New Roman" w:cs="Times New Roman"/>
          <w:sz w:val="24"/>
          <w:szCs w:val="24"/>
        </w:rPr>
        <w:t>(''Сл.гласник РС'', бр. 54/09, 73/10, 101/10, 101/11, 62/13, 63/13, 108/13, 142/2014</w:t>
      </w:r>
      <w:r w:rsidR="00F05CCC">
        <w:rPr>
          <w:rFonts w:ascii="Times New Roman" w:hAnsi="Times New Roman" w:cs="Times New Roman"/>
          <w:sz w:val="24"/>
          <w:szCs w:val="24"/>
        </w:rPr>
        <w:t>,103/15, 99/2016 и 113/17).На основу члана 31.</w:t>
      </w:r>
      <w:r w:rsidR="007C6947" w:rsidRPr="007C69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C6947">
        <w:rPr>
          <w:rFonts w:ascii="Times New Roman" w:hAnsi="Times New Roman" w:cs="Times New Roman"/>
          <w:sz w:val="24"/>
          <w:szCs w:val="24"/>
          <w:lang w:val="sr-Cyrl-CS"/>
        </w:rPr>
        <w:t xml:space="preserve"> Закон</w:t>
      </w:r>
      <w:r w:rsidR="007C6947">
        <w:rPr>
          <w:rFonts w:ascii="Times New Roman" w:hAnsi="Times New Roman" w:cs="Times New Roman"/>
          <w:sz w:val="24"/>
          <w:szCs w:val="24"/>
        </w:rPr>
        <w:t>a</w:t>
      </w:r>
      <w:r w:rsidR="007C6947">
        <w:rPr>
          <w:rFonts w:ascii="Times New Roman" w:hAnsi="Times New Roman" w:cs="Times New Roman"/>
          <w:sz w:val="24"/>
          <w:szCs w:val="24"/>
          <w:lang w:val="sr-Cyrl-CS"/>
        </w:rPr>
        <w:t xml:space="preserve"> о буџетском систему</w:t>
      </w:r>
      <w:r w:rsidR="00F05CCC">
        <w:rPr>
          <w:rFonts w:ascii="Times New Roman" w:hAnsi="Times New Roman" w:cs="Times New Roman"/>
          <w:sz w:val="24"/>
          <w:szCs w:val="24"/>
        </w:rPr>
        <w:t xml:space="preserve"> ,по </w:t>
      </w:r>
      <w:r>
        <w:rPr>
          <w:rFonts w:ascii="Times New Roman" w:hAnsi="Times New Roman" w:cs="Times New Roman"/>
          <w:sz w:val="24"/>
          <w:szCs w:val="24"/>
        </w:rPr>
        <w:t>буџетском календару ,министар финансија доставља Упутство за припрему Одлуке о буџету локалне власти као и Фискалну стратегију до 5.јула.</w:t>
      </w:r>
    </w:p>
    <w:p w:rsidR="00CF24DA" w:rsidRPr="00F05CCC" w:rsidRDefault="00CF24DA" w:rsidP="00F05CCC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Како ова два поменута акта до тренутка израде овог Упутства нису достављена,а имајући у виду да је рок за достављање Упуства за припрему Нацрта Одлуке о буџету општине  директним и </w:t>
      </w:r>
      <w:r w:rsidR="007C6947">
        <w:rPr>
          <w:rFonts w:ascii="Times New Roman" w:hAnsi="Times New Roman" w:cs="Times New Roman"/>
          <w:sz w:val="24"/>
          <w:szCs w:val="24"/>
        </w:rPr>
        <w:t xml:space="preserve">индиректним корисницима ,према буџетском календару 01.август,нужно је  </w:t>
      </w:r>
      <w:r>
        <w:rPr>
          <w:rFonts w:ascii="Times New Roman" w:hAnsi="Times New Roman" w:cs="Times New Roman"/>
          <w:sz w:val="24"/>
          <w:szCs w:val="24"/>
        </w:rPr>
        <w:t xml:space="preserve"> да израдимо наведено Упутство применом пројекција објављених у Фискалној стратегији за </w:t>
      </w:r>
      <w:r w:rsidR="007C6947">
        <w:rPr>
          <w:rFonts w:ascii="Times New Roman" w:hAnsi="Times New Roman" w:cs="Times New Roman"/>
          <w:sz w:val="24"/>
          <w:szCs w:val="24"/>
        </w:rPr>
        <w:t>2018. са пројекцијама за 2019. и</w:t>
      </w:r>
      <w:r>
        <w:rPr>
          <w:rFonts w:ascii="Times New Roman" w:hAnsi="Times New Roman" w:cs="Times New Roman"/>
          <w:sz w:val="24"/>
          <w:szCs w:val="24"/>
        </w:rPr>
        <w:t xml:space="preserve"> 2020.годину.</w:t>
      </w:r>
    </w:p>
    <w:p w:rsidR="00E663F1" w:rsidRPr="00BB3614" w:rsidRDefault="00E663F1" w:rsidP="00B17A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B17A6D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Pr="002900B1">
        <w:rPr>
          <w:rFonts w:ascii="Times New Roman" w:hAnsi="Times New Roman" w:cs="Times New Roman"/>
          <w:sz w:val="24"/>
          <w:szCs w:val="24"/>
        </w:rPr>
        <w:t>Чланом 41. Закона</w:t>
      </w:r>
      <w:r w:rsidRPr="002900B1">
        <w:rPr>
          <w:rFonts w:ascii="Times New Roman" w:hAnsi="Times New Roman" w:cs="Times New Roman"/>
          <w:sz w:val="24"/>
          <w:szCs w:val="24"/>
          <w:lang w:val="sr-Cyrl-CS"/>
        </w:rPr>
        <w:t xml:space="preserve"> о буџетском систему</w:t>
      </w:r>
      <w:r w:rsidRPr="002900B1">
        <w:rPr>
          <w:rFonts w:ascii="Times New Roman" w:hAnsi="Times New Roman" w:cs="Times New Roman"/>
          <w:sz w:val="24"/>
          <w:szCs w:val="24"/>
        </w:rPr>
        <w:t xml:space="preserve"> дефинисано је да су индиректни корисници средстава буџета локалне власти обавезни да припреме предлог финансијског плана на основу смерница које се односе на буџет локалне власти. </w:t>
      </w:r>
    </w:p>
    <w:p w:rsidR="00E663F1" w:rsidRPr="002900B1" w:rsidRDefault="00E663F1" w:rsidP="00B17A6D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900B1">
        <w:rPr>
          <w:rFonts w:ascii="Times New Roman" w:hAnsi="Times New Roman" w:cs="Times New Roman"/>
          <w:sz w:val="24"/>
          <w:szCs w:val="24"/>
        </w:rPr>
        <w:t xml:space="preserve">Директни корисници обавезни су да, у складу са смерницама и роковима, траже од индиректних корисника за које су одговорни, да доставе податке неопходне за израду предлога финансијског плана директног буџетског корисника. </w:t>
      </w:r>
      <w:r w:rsidRPr="002900B1">
        <w:rPr>
          <w:rFonts w:ascii="Times New Roman" w:hAnsi="Times New Roman" w:cs="Times New Roman"/>
          <w:sz w:val="24"/>
          <w:szCs w:val="24"/>
          <w:lang w:val="sr-Cyrl-CS"/>
        </w:rPr>
        <w:t xml:space="preserve">Такође </w:t>
      </w:r>
      <w:r w:rsidRPr="002900B1">
        <w:rPr>
          <w:rFonts w:ascii="Times New Roman" w:hAnsi="Times New Roman" w:cs="Times New Roman"/>
          <w:sz w:val="24"/>
          <w:szCs w:val="24"/>
        </w:rPr>
        <w:t>је предвиђено</w:t>
      </w:r>
      <w:r w:rsidR="00B17A6D" w:rsidRPr="002900B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900B1">
        <w:rPr>
          <w:rFonts w:ascii="Times New Roman" w:hAnsi="Times New Roman" w:cs="Times New Roman"/>
          <w:sz w:val="24"/>
          <w:szCs w:val="24"/>
        </w:rPr>
        <w:t xml:space="preserve"> да локални орган управе надлежан за финансије може да тражи непосредно од индиректних буџетских корисника податке о финансирању који су неопходни за припрему предлога буџета локалне власти.</w:t>
      </w:r>
    </w:p>
    <w:p w:rsidR="002972FF" w:rsidRDefault="002972FF" w:rsidP="002972FF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00B1" w:rsidRDefault="002900B1" w:rsidP="002972FF">
      <w:pPr>
        <w:tabs>
          <w:tab w:val="left" w:pos="57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68E8" w:rsidRPr="00175FC4" w:rsidRDefault="000268E8" w:rsidP="00175FC4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75F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Основне економске претпоставке и смернице за припрему буџета за </w:t>
      </w:r>
      <w:r w:rsidR="00D43DFE" w:rsidRPr="00175FC4">
        <w:rPr>
          <w:rFonts w:ascii="Times New Roman" w:hAnsi="Times New Roman" w:cs="Times New Roman"/>
          <w:b/>
          <w:sz w:val="24"/>
          <w:szCs w:val="24"/>
          <w:lang w:val="sr-Cyrl-CS"/>
        </w:rPr>
        <w:t>2019</w:t>
      </w:r>
      <w:r w:rsidRPr="00175FC4">
        <w:rPr>
          <w:rFonts w:ascii="Times New Roman" w:hAnsi="Times New Roman" w:cs="Times New Roman"/>
          <w:b/>
          <w:sz w:val="24"/>
          <w:szCs w:val="24"/>
          <w:lang w:val="sr-Cyrl-CS"/>
        </w:rPr>
        <w:t>.годину</w:t>
      </w:r>
    </w:p>
    <w:p w:rsidR="00755B90" w:rsidRPr="008E437F" w:rsidRDefault="00755B90" w:rsidP="00755B90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3A4D" w:rsidRDefault="00997178" w:rsidP="00C63A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Фискална стартегија за 2019.годину још није објављена од стране надле</w:t>
      </w:r>
      <w:r w:rsidR="00C63A4D">
        <w:rPr>
          <w:rFonts w:ascii="Times New Roman" w:hAnsi="Times New Roman" w:cs="Times New Roman"/>
          <w:sz w:val="24"/>
          <w:szCs w:val="24"/>
        </w:rPr>
        <w:t>жног органа,основне смернице у о</w:t>
      </w:r>
      <w:r>
        <w:rPr>
          <w:rFonts w:ascii="Times New Roman" w:hAnsi="Times New Roman" w:cs="Times New Roman"/>
          <w:sz w:val="24"/>
          <w:szCs w:val="24"/>
        </w:rPr>
        <w:t>вом Упуству дате су на основу Фискалне стратегије за 2018.годину  са пројекцијама за 2019. и 2020.годину,Упуства за припрему буџета локалне власти за 2018.годину и пројекцијама за 2019. и  2020.годину,Упуства за припрему програмског буџета и Упуства за праћење и извештавање о учинку програма.</w:t>
      </w:r>
    </w:p>
    <w:p w:rsidR="008E437F" w:rsidRPr="008E437F" w:rsidRDefault="008E437F" w:rsidP="00C63A4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437F">
        <w:rPr>
          <w:rFonts w:ascii="Times New Roman" w:hAnsi="Times New Roman" w:cs="Times New Roman"/>
          <w:sz w:val="24"/>
          <w:szCs w:val="24"/>
        </w:rPr>
        <w:t>Након успешно спроведене фискалне консолидације, стабилизације јавних</w:t>
      </w:r>
    </w:p>
    <w:p w:rsidR="008E437F" w:rsidRPr="008E437F" w:rsidRDefault="008E437F" w:rsidP="001D3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437F">
        <w:rPr>
          <w:rFonts w:ascii="Times New Roman" w:hAnsi="Times New Roman" w:cs="Times New Roman"/>
          <w:sz w:val="24"/>
          <w:szCs w:val="24"/>
        </w:rPr>
        <w:t>финансија и преокрета вишегодишње растућег тренда јавног дуга, Влада РС остаје</w:t>
      </w:r>
    </w:p>
    <w:p w:rsidR="008E437F" w:rsidRPr="008E437F" w:rsidRDefault="008E437F" w:rsidP="001D3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437F">
        <w:rPr>
          <w:rFonts w:ascii="Times New Roman" w:hAnsi="Times New Roman" w:cs="Times New Roman"/>
          <w:sz w:val="24"/>
          <w:szCs w:val="24"/>
        </w:rPr>
        <w:t>фокусирана на даље побољшање привредног амбијента и обезбеђивање високих стопа</w:t>
      </w:r>
    </w:p>
    <w:p w:rsidR="008E437F" w:rsidRPr="008E437F" w:rsidRDefault="008E437F" w:rsidP="001D3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437F">
        <w:rPr>
          <w:rFonts w:ascii="Times New Roman" w:hAnsi="Times New Roman" w:cs="Times New Roman"/>
          <w:sz w:val="24"/>
          <w:szCs w:val="24"/>
        </w:rPr>
        <w:t>привредног раста, са крајњим циљем смањења незапослености и подизања животног</w:t>
      </w:r>
    </w:p>
    <w:p w:rsidR="00E9184F" w:rsidRPr="00DE35A2" w:rsidRDefault="008E437F" w:rsidP="00DE35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437F">
        <w:rPr>
          <w:rFonts w:ascii="Times New Roman" w:hAnsi="Times New Roman" w:cs="Times New Roman"/>
          <w:sz w:val="24"/>
          <w:szCs w:val="24"/>
        </w:rPr>
        <w:t xml:space="preserve">стандарда становништва. </w:t>
      </w:r>
    </w:p>
    <w:p w:rsidR="00E9184F" w:rsidRDefault="00E9184F" w:rsidP="001D3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наредном средорочном периоду циљеви фискалне политике су усмерени на одржавање фискалне стабилности што води даљем смањењу јавног дуга</w:t>
      </w:r>
      <w:r w:rsidR="00DB3705">
        <w:rPr>
          <w:rFonts w:ascii="Times New Roman" w:hAnsi="Times New Roman" w:cs="Times New Roman"/>
          <w:sz w:val="24"/>
          <w:szCs w:val="24"/>
        </w:rPr>
        <w:t>.</w:t>
      </w:r>
      <w:r w:rsidRPr="00E91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Средњорочни</w:t>
      </w:r>
    </w:p>
    <w:p w:rsidR="00E9184F" w:rsidRDefault="00E9184F" w:rsidP="001D3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фискални оквир подразумева одржавање дефицита опште државе на 0,5% БДП до 2020.</w:t>
      </w:r>
    </w:p>
    <w:p w:rsidR="00E9184F" w:rsidRDefault="00E9184F" w:rsidP="001D3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године. Остварење фискалног дефицита и примарног суфицита у наредном периоду</w:t>
      </w:r>
    </w:p>
    <w:p w:rsidR="00E9184F" w:rsidRDefault="00E9184F" w:rsidP="001D3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омогућава да се дуг већ у 2018. години спусти на ниво од око 60% БДП. Креиран оквир</w:t>
      </w:r>
    </w:p>
    <w:p w:rsidR="00E9184F" w:rsidRPr="00E9184F" w:rsidRDefault="00E9184F" w:rsidP="001D3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фискалне политике у средњорочном периоду резултираће наставком силазне путање јавногдуга. Пројекције фискалних агрегата у периоду од 2018. до 2020. године заснивају се 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пројекцијама макроекономских показатеља за наведени период, планираној пореској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политици која подразумева даље усаглашавање са законима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директивама ЕУ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одговарајућим мерама на приходној и расходној страни, укључујући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реформе великих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јавних предузећа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9184F" w:rsidRDefault="00E9184F" w:rsidP="001D3AC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4AC2">
        <w:rPr>
          <w:rFonts w:ascii="Times New Roman" w:hAnsi="Times New Roman" w:cs="Times New Roman"/>
          <w:sz w:val="24"/>
          <w:szCs w:val="24"/>
          <w:lang w:val="sr-Cyrl-CS"/>
        </w:rPr>
        <w:t>Макроекомомским пројекцијама  за период од 2018.до 2020.године предвиђена је кумулативна стопа раста реалног БДП од  11,4%,заснована на расту домаће тражње и опоравку инвестиционе активности.Задржавање тренда оствареног раста у 2019 години и убрзање на 4% У 20120.години засновано је на расту инвестиционе потрошње али и стандарда становништва на реалним основама.</w:t>
      </w:r>
    </w:p>
    <w:p w:rsidR="00755B90" w:rsidRDefault="00755B90" w:rsidP="00E9184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55B90" w:rsidRPr="007C4AC2" w:rsidRDefault="00755B90" w:rsidP="00E9184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Основне макроеконом</w:t>
      </w:r>
      <w:r w:rsidR="00DE35A2">
        <w:rPr>
          <w:rFonts w:ascii="Times New Roman" w:hAnsi="Times New Roman" w:cs="Times New Roman"/>
          <w:sz w:val="24"/>
          <w:szCs w:val="24"/>
          <w:lang w:val="sr-Cyrl-CS"/>
        </w:rPr>
        <w:t>ске претпоставке за период  201</w:t>
      </w:r>
      <w:r w:rsidR="00DE35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.-2020.године</w:t>
      </w:r>
    </w:p>
    <w:p w:rsidR="00E9184F" w:rsidRPr="00E9184F" w:rsidRDefault="00E9184F" w:rsidP="00E918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184F" w:rsidRDefault="00E9184F" w:rsidP="00E918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8114" w:type="dxa"/>
        <w:tblInd w:w="392" w:type="dxa"/>
        <w:tblLook w:val="04A0"/>
      </w:tblPr>
      <w:tblGrid>
        <w:gridCol w:w="5279"/>
        <w:gridCol w:w="709"/>
        <w:gridCol w:w="708"/>
        <w:gridCol w:w="709"/>
        <w:gridCol w:w="709"/>
      </w:tblGrid>
      <w:tr w:rsidR="00F8180B" w:rsidRPr="001D3AC9" w:rsidTr="00651A92">
        <w:trPr>
          <w:trHeight w:val="300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Исказано у процентима</w:t>
            </w:r>
            <w:r w:rsidR="00EF1F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осим</w:t>
            </w:r>
            <w:r w:rsidR="00EF1F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ако</w:t>
            </w:r>
            <w:r w:rsidR="00EF1F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ниј</w:t>
            </w:r>
            <w:r w:rsidR="00EF1F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едругачије</w:t>
            </w:r>
            <w:r w:rsidR="00EF1F1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назначено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2020</w:t>
            </w:r>
          </w:p>
        </w:tc>
      </w:tr>
      <w:tr w:rsidR="00F8180B" w:rsidRPr="001D3AC9" w:rsidTr="00651A92">
        <w:trPr>
          <w:trHeight w:val="300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180B" w:rsidRPr="001D3AC9" w:rsidTr="00651A92">
        <w:trPr>
          <w:trHeight w:val="300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Стопареалнограста БДП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4,0</w:t>
            </w:r>
          </w:p>
        </w:tc>
      </w:tr>
      <w:tr w:rsidR="00F8180B" w:rsidRPr="001D3AC9" w:rsidTr="00651A92">
        <w:trPr>
          <w:trHeight w:val="300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180B" w:rsidRPr="001D3AC9" w:rsidTr="00651A92">
        <w:trPr>
          <w:trHeight w:val="300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БДП у текућимтржишнимценама (у млрд РСД)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4469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4755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5417</w:t>
            </w:r>
          </w:p>
        </w:tc>
        <w:bookmarkStart w:id="0" w:name="_GoBack"/>
        <w:bookmarkEnd w:id="0"/>
      </w:tr>
      <w:tr w:rsidR="00F8180B" w:rsidRPr="001D3AC9" w:rsidTr="00651A92">
        <w:trPr>
          <w:trHeight w:val="300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Извори</w:t>
            </w:r>
            <w:r w:rsidR="00EF1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D3A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раста: процентнепромене у сталнимценама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Личнапотрошња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3,8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Државнапотрошња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2,7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Инвестиције у фиксникапитал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5,3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Извозроба и услуга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7,9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Увозроба и услуга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Допринос</w:t>
            </w:r>
            <w:r w:rsidR="00EF1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D3A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расту БДП, п.п.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Домаћатражња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4,4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Инвестиционапотрошња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1,1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Личнапотрошња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2,8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Државнапотрошња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0,5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Спољно-трговинскибилансроба и услуга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-0,4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180B" w:rsidRPr="001D3AC9" w:rsidTr="00651A92">
        <w:trPr>
          <w:trHeight w:val="300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Кретање</w:t>
            </w:r>
            <w:r w:rsidR="00EF1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D3A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8180B" w:rsidRPr="001D3AC9" w:rsidTr="00651A92">
        <w:trPr>
          <w:trHeight w:val="31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180B" w:rsidRPr="001D3AC9" w:rsidTr="00651A92">
        <w:trPr>
          <w:trHeight w:val="300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Потрошачкецене(годишњипросек)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F8180B" w:rsidRPr="001D3AC9" w:rsidTr="00651A92">
        <w:trPr>
          <w:trHeight w:val="31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180B" w:rsidRPr="001D3AC9" w:rsidTr="00651A92">
        <w:trPr>
          <w:trHeight w:val="300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Потрошачкецене(крајпериода)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F8180B" w:rsidRPr="001D3AC9" w:rsidTr="00651A92">
        <w:trPr>
          <w:trHeight w:val="31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Дефлатор БДП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Кретања у спољномсектору (%БДП)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180B" w:rsidRPr="001D3AC9" w:rsidRDefault="00F8180B" w:rsidP="00651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8180B" w:rsidRPr="001D3AC9" w:rsidRDefault="00F8180B" w:rsidP="00651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Спољнотрговинскибилансроба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-9,0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Спољнотрговинскибилансуслуга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Салдотекућеграчуна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-4,6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-3,9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Директнеинвестиције - нето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Јавне</w:t>
            </w:r>
            <w:r w:rsidR="00EF1F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D3A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финансије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180B" w:rsidRPr="001D3AC9" w:rsidRDefault="00F8180B" w:rsidP="00651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180B" w:rsidRPr="001D3AC9" w:rsidRDefault="00F8180B" w:rsidP="00651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Дефицитопштедржаве (% БДП)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-0,5</w:t>
            </w:r>
          </w:p>
        </w:tc>
      </w:tr>
      <w:tr w:rsidR="00F8180B" w:rsidRPr="001D3AC9" w:rsidTr="00651A92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8180B" w:rsidRPr="001D3AC9" w:rsidRDefault="00F8180B" w:rsidP="00651A9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3AC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1547C7" w:rsidRDefault="001547C7" w:rsidP="001547C7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sr-Cyrl-CS"/>
        </w:rPr>
      </w:pPr>
    </w:p>
    <w:p w:rsidR="001547C7" w:rsidRDefault="001547C7" w:rsidP="001547C7">
      <w:pPr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sz w:val="20"/>
          <w:szCs w:val="20"/>
          <w:lang w:val="sr-Cyrl-CS"/>
        </w:rPr>
      </w:pPr>
    </w:p>
    <w:p w:rsidR="00D61D67" w:rsidRDefault="001D3AC9" w:rsidP="001D3A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1547C7">
        <w:rPr>
          <w:rFonts w:ascii="Times New Roman" w:hAnsi="Times New Roman" w:cs="Times New Roman"/>
          <w:sz w:val="24"/>
          <w:szCs w:val="24"/>
        </w:rPr>
        <w:t>У складу са напред наведеним макро економским показатељима локална власт</w:t>
      </w:r>
      <w:r w:rsidR="00D61D67">
        <w:rPr>
          <w:rFonts w:ascii="Times New Roman" w:hAnsi="Times New Roman" w:cs="Times New Roman"/>
          <w:sz w:val="24"/>
          <w:szCs w:val="24"/>
          <w:lang w:val="sr-Cyrl-CS"/>
        </w:rPr>
        <w:t xml:space="preserve"> је у обавези да </w:t>
      </w:r>
      <w:r w:rsidR="00D61D67" w:rsidRPr="00C63A4D">
        <w:rPr>
          <w:rFonts w:ascii="Times New Roman" w:hAnsi="Times New Roman" w:cs="Times New Roman"/>
          <w:b/>
          <w:sz w:val="24"/>
          <w:szCs w:val="24"/>
          <w:lang w:val="sr-Cyrl-CS"/>
        </w:rPr>
        <w:t>реално планира своје приходе буџета</w:t>
      </w:r>
      <w:r w:rsidR="00D61D67">
        <w:rPr>
          <w:rFonts w:ascii="Times New Roman" w:hAnsi="Times New Roman" w:cs="Times New Roman"/>
          <w:sz w:val="24"/>
          <w:szCs w:val="24"/>
          <w:lang w:val="sr-Cyrl-CS"/>
        </w:rPr>
        <w:t>.Приликом планирања прихода пот</w:t>
      </w:r>
      <w:r w:rsidR="009A33BB">
        <w:rPr>
          <w:rFonts w:ascii="Times New Roman" w:hAnsi="Times New Roman" w:cs="Times New Roman"/>
          <w:sz w:val="24"/>
          <w:szCs w:val="24"/>
          <w:lang w:val="sr-Cyrl-CS"/>
        </w:rPr>
        <w:t>ребно је поћи од њихово</w:t>
      </w:r>
      <w:r w:rsidR="009A33BB">
        <w:rPr>
          <w:rFonts w:ascii="Times New Roman" w:hAnsi="Times New Roman" w:cs="Times New Roman"/>
          <w:sz w:val="24"/>
          <w:szCs w:val="24"/>
        </w:rPr>
        <w:t xml:space="preserve">г остварења за првих седам месеци у 2018.години </w:t>
      </w:r>
      <w:r w:rsidR="00D61D67">
        <w:rPr>
          <w:rFonts w:ascii="Times New Roman" w:hAnsi="Times New Roman" w:cs="Times New Roman"/>
          <w:sz w:val="24"/>
          <w:szCs w:val="24"/>
          <w:lang w:val="sr-Cyrl-CS"/>
        </w:rPr>
        <w:t xml:space="preserve"> и њихове процене</w:t>
      </w:r>
      <w:r w:rsidR="009A33BB">
        <w:rPr>
          <w:rFonts w:ascii="Times New Roman" w:hAnsi="Times New Roman" w:cs="Times New Roman"/>
          <w:sz w:val="24"/>
          <w:szCs w:val="24"/>
          <w:lang w:val="sr-Cyrl-CS"/>
        </w:rPr>
        <w:t xml:space="preserve"> остварења до краја годин</w:t>
      </w:r>
      <w:r w:rsidR="00D61D67">
        <w:rPr>
          <w:rFonts w:ascii="Times New Roman" w:hAnsi="Times New Roman" w:cs="Times New Roman"/>
          <w:sz w:val="24"/>
          <w:szCs w:val="24"/>
          <w:lang w:val="sr-Cyrl-CS"/>
        </w:rPr>
        <w:t>е,што предсравља основ за примену горе наведених макроекономских параметра,односно основ за њихово увећање,при чему укупан раст прихода не сме да буде већи од номиналног раста БДП(п</w:t>
      </w:r>
      <w:r w:rsidR="009A33BB">
        <w:rPr>
          <w:rFonts w:ascii="Times New Roman" w:hAnsi="Times New Roman" w:cs="Times New Roman"/>
          <w:sz w:val="24"/>
          <w:szCs w:val="24"/>
          <w:lang w:val="sr-Cyrl-CS"/>
        </w:rPr>
        <w:t>ројектован номинални раст у 2019.години од 6,3</w:t>
      </w:r>
      <w:r w:rsidR="00B5139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D61D67">
        <w:rPr>
          <w:rFonts w:ascii="Times New Roman" w:hAnsi="Times New Roman" w:cs="Times New Roman"/>
          <w:sz w:val="24"/>
          <w:szCs w:val="24"/>
          <w:lang w:val="sr-Cyrl-CS"/>
        </w:rPr>
        <w:t>%).Изузетно локална власт м</w:t>
      </w:r>
      <w:r w:rsidR="00D61D67">
        <w:rPr>
          <w:rFonts w:ascii="Times New Roman" w:hAnsi="Times New Roman" w:cs="Times New Roman"/>
          <w:sz w:val="24"/>
          <w:szCs w:val="24"/>
        </w:rPr>
        <w:t>оже</w:t>
      </w:r>
      <w:r w:rsidR="00D61D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D67">
        <w:rPr>
          <w:rFonts w:ascii="Times New Roman" w:hAnsi="Times New Roman" w:cs="Times New Roman"/>
          <w:sz w:val="24"/>
          <w:szCs w:val="24"/>
        </w:rPr>
        <w:t xml:space="preserve"> планирати већи обим прихода, с тим што је у</w:t>
      </w:r>
      <w:r w:rsidR="00D61D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D67">
        <w:rPr>
          <w:rFonts w:ascii="Times New Roman" w:hAnsi="Times New Roman" w:cs="Times New Roman"/>
          <w:sz w:val="24"/>
          <w:szCs w:val="24"/>
        </w:rPr>
        <w:t xml:space="preserve">том случају </w:t>
      </w:r>
      <w:r w:rsidR="00D61D67">
        <w:rPr>
          <w:rFonts w:ascii="Times New Roman,Bold" w:hAnsi="Times New Roman,Bold" w:cs="Times New Roman,Bold"/>
          <w:b/>
          <w:bCs/>
          <w:sz w:val="24"/>
          <w:szCs w:val="24"/>
        </w:rPr>
        <w:t>дужна да у образложењу одлуке о буџету наведе разлоге за такво поступање</w:t>
      </w:r>
      <w:r w:rsidR="00D61D6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61D67">
        <w:rPr>
          <w:rFonts w:ascii="Times New Roman" w:hAnsi="Times New Roman" w:cs="Times New Roman"/>
          <w:sz w:val="24"/>
          <w:szCs w:val="24"/>
        </w:rPr>
        <w:t>као и да образложи параметре (кретање запослености, просечне зараде, очекиване</w:t>
      </w:r>
      <w:r w:rsidR="00D61D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D67">
        <w:rPr>
          <w:rFonts w:ascii="Times New Roman" w:hAnsi="Times New Roman" w:cs="Times New Roman"/>
          <w:sz w:val="24"/>
          <w:szCs w:val="24"/>
        </w:rPr>
        <w:t>инвестиционе активности, промене у степену наплате пореза на имовину итд.) коришћене за</w:t>
      </w:r>
      <w:r w:rsidR="00D61D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61D67">
        <w:rPr>
          <w:rFonts w:ascii="Times New Roman" w:hAnsi="Times New Roman" w:cs="Times New Roman"/>
          <w:sz w:val="24"/>
          <w:szCs w:val="24"/>
        </w:rPr>
        <w:t xml:space="preserve">пројекцију таквих прихода. </w:t>
      </w:r>
    </w:p>
    <w:p w:rsidR="004A2A8A" w:rsidRDefault="004C26FB" w:rsidP="004A2A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</w:p>
    <w:p w:rsidR="00D61D67" w:rsidRDefault="004C26FB" w:rsidP="001D3A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D61D67">
        <w:rPr>
          <w:rFonts w:ascii="Times New Roman" w:hAnsi="Times New Roman" w:cs="Times New Roman"/>
          <w:sz w:val="24"/>
          <w:szCs w:val="24"/>
        </w:rPr>
        <w:t>Ненаменске трансфере јединице локалне самоуправе треба да планирају у истом</w:t>
      </w:r>
    </w:p>
    <w:p w:rsidR="00D61D67" w:rsidRDefault="00D61D67" w:rsidP="001D3A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износу који је био опредељен Законом о</w:t>
      </w:r>
      <w:r w:rsidR="00753BBD">
        <w:rPr>
          <w:rFonts w:ascii="Times New Roman" w:hAnsi="Times New Roman" w:cs="Times New Roman"/>
          <w:sz w:val="24"/>
          <w:szCs w:val="24"/>
        </w:rPr>
        <w:t xml:space="preserve"> буџету Републике Србије за 2018</w:t>
      </w:r>
      <w:r>
        <w:rPr>
          <w:rFonts w:ascii="Times New Roman" w:hAnsi="Times New Roman" w:cs="Times New Roman"/>
          <w:sz w:val="24"/>
          <w:szCs w:val="24"/>
        </w:rPr>
        <w:t>. годину</w:t>
      </w:r>
    </w:p>
    <w:p w:rsidR="00D61D67" w:rsidRDefault="00D61D67" w:rsidP="001D3AC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(„Службени глас</w:t>
      </w:r>
      <w:r w:rsidR="00753BBD">
        <w:rPr>
          <w:rFonts w:ascii="Times New Roman" w:hAnsi="Times New Roman" w:cs="Times New Roman"/>
          <w:sz w:val="24"/>
          <w:szCs w:val="24"/>
        </w:rPr>
        <w:t>ник РС”, број 113/17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53BBD" w:rsidRDefault="004C26FB" w:rsidP="00753BBD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p w:rsidR="002972FF" w:rsidRPr="004C26FB" w:rsidRDefault="004C26FB" w:rsidP="007D01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119F6" w:rsidRPr="00374601" w:rsidRDefault="00E119F6" w:rsidP="0095336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1789" w:rsidRPr="00175FC4" w:rsidRDefault="005D0BD3" w:rsidP="00175FC4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FC4">
        <w:rPr>
          <w:rFonts w:ascii="Times New Roman" w:hAnsi="Times New Roman" w:cs="Times New Roman"/>
          <w:b/>
          <w:sz w:val="24"/>
          <w:szCs w:val="24"/>
        </w:rPr>
        <w:t>О</w:t>
      </w:r>
      <w:r w:rsidRPr="00175FC4">
        <w:rPr>
          <w:rFonts w:ascii="Times New Roman" w:hAnsi="Times New Roman" w:cs="Times New Roman"/>
          <w:b/>
          <w:sz w:val="24"/>
          <w:szCs w:val="24"/>
          <w:lang w:val="sr-Cyrl-CS"/>
        </w:rPr>
        <w:t>пис планиране</w:t>
      </w:r>
      <w:r w:rsidR="007D3D91" w:rsidRPr="00175FC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политике</w:t>
      </w:r>
      <w:r w:rsidR="00261569" w:rsidRPr="00175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D91" w:rsidRPr="00175FC4">
        <w:rPr>
          <w:rFonts w:ascii="Times New Roman" w:hAnsi="Times New Roman" w:cs="Times New Roman"/>
          <w:b/>
          <w:sz w:val="24"/>
          <w:szCs w:val="24"/>
          <w:lang w:val="sr-Cyrl-CS"/>
        </w:rPr>
        <w:t>општине Мионица за период</w:t>
      </w:r>
      <w:r w:rsidR="00221789" w:rsidRPr="00175FC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20876" w:rsidRPr="00175FC4">
        <w:rPr>
          <w:rFonts w:ascii="Times New Roman" w:hAnsi="Times New Roman" w:cs="Times New Roman"/>
          <w:b/>
          <w:sz w:val="24"/>
          <w:szCs w:val="24"/>
        </w:rPr>
        <w:t>9-2021</w:t>
      </w:r>
      <w:r w:rsidR="007D3D91" w:rsidRPr="00175FC4">
        <w:rPr>
          <w:rFonts w:ascii="Times New Roman" w:hAnsi="Times New Roman" w:cs="Times New Roman"/>
          <w:b/>
          <w:sz w:val="24"/>
          <w:szCs w:val="24"/>
        </w:rPr>
        <w:t>.</w:t>
      </w:r>
      <w:r w:rsidR="007D3D91" w:rsidRPr="00175FC4">
        <w:rPr>
          <w:rFonts w:ascii="Times New Roman" w:hAnsi="Times New Roman" w:cs="Times New Roman"/>
          <w:b/>
          <w:sz w:val="24"/>
          <w:szCs w:val="24"/>
          <w:lang w:val="sr-Cyrl-CS"/>
        </w:rPr>
        <w:t>године</w:t>
      </w:r>
    </w:p>
    <w:p w:rsidR="00261569" w:rsidRPr="00755B90" w:rsidRDefault="00261569" w:rsidP="0026156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A39" w:rsidRDefault="007D0190" w:rsidP="009533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4BB3" w:rsidRPr="00374601">
        <w:rPr>
          <w:rFonts w:ascii="Times New Roman" w:hAnsi="Times New Roman" w:cs="Times New Roman"/>
          <w:sz w:val="24"/>
          <w:szCs w:val="24"/>
        </w:rPr>
        <w:t>У периоду од 201</w:t>
      </w:r>
      <w:r w:rsidR="00620876">
        <w:rPr>
          <w:rFonts w:ascii="Times New Roman" w:hAnsi="Times New Roman" w:cs="Times New Roman"/>
          <w:sz w:val="24"/>
          <w:szCs w:val="24"/>
        </w:rPr>
        <w:t>9. до 2021</w:t>
      </w:r>
      <w:r w:rsidR="00261569">
        <w:rPr>
          <w:rFonts w:ascii="Times New Roman" w:hAnsi="Times New Roman" w:cs="Times New Roman"/>
          <w:sz w:val="24"/>
          <w:szCs w:val="24"/>
        </w:rPr>
        <w:t xml:space="preserve">. године општина </w:t>
      </w:r>
      <w:r w:rsidR="00261569">
        <w:rPr>
          <w:rFonts w:ascii="Times New Roman" w:hAnsi="Times New Roman" w:cs="Times New Roman"/>
          <w:sz w:val="24"/>
          <w:szCs w:val="24"/>
          <w:lang w:val="sr-Cyrl-CS"/>
        </w:rPr>
        <w:t>Мионица</w:t>
      </w:r>
      <w:r w:rsidR="00221789" w:rsidRPr="00374601">
        <w:rPr>
          <w:rFonts w:ascii="Times New Roman" w:hAnsi="Times New Roman" w:cs="Times New Roman"/>
          <w:sz w:val="24"/>
          <w:szCs w:val="24"/>
        </w:rPr>
        <w:t xml:space="preserve"> ће обављати изворне, поверене и пренесене надлежности у складу са Уставом Републике Србије и Законом о локалној самоуправи, као и другим зак</w:t>
      </w:r>
      <w:r w:rsidR="00D83A39">
        <w:rPr>
          <w:rFonts w:ascii="Times New Roman" w:hAnsi="Times New Roman" w:cs="Times New Roman"/>
          <w:sz w:val="24"/>
          <w:szCs w:val="24"/>
        </w:rPr>
        <w:t>онским и подзаконским актима</w:t>
      </w:r>
      <w:r w:rsidR="00D83A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1789" w:rsidRPr="00374601">
        <w:rPr>
          <w:rFonts w:ascii="Times New Roman" w:hAnsi="Times New Roman" w:cs="Times New Roman"/>
          <w:sz w:val="24"/>
          <w:szCs w:val="24"/>
        </w:rPr>
        <w:t>којим</w:t>
      </w:r>
      <w:r w:rsidR="003078F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21789" w:rsidRPr="00374601">
        <w:rPr>
          <w:rFonts w:ascii="Times New Roman" w:hAnsi="Times New Roman" w:cs="Times New Roman"/>
          <w:sz w:val="24"/>
          <w:szCs w:val="24"/>
        </w:rPr>
        <w:t xml:space="preserve"> се регулише </w:t>
      </w:r>
      <w:r w:rsidR="003078FD">
        <w:rPr>
          <w:rFonts w:ascii="Times New Roman" w:hAnsi="Times New Roman" w:cs="Times New Roman"/>
          <w:sz w:val="24"/>
          <w:szCs w:val="24"/>
          <w:lang w:val="sr-Cyrl-CS"/>
        </w:rPr>
        <w:t xml:space="preserve"> надлежност општине Мионица</w:t>
      </w:r>
      <w:r w:rsidR="00D83A39">
        <w:rPr>
          <w:rFonts w:ascii="Times New Roman" w:hAnsi="Times New Roman" w:cs="Times New Roman"/>
          <w:sz w:val="24"/>
          <w:szCs w:val="24"/>
        </w:rPr>
        <w:t>.</w:t>
      </w:r>
      <w:r w:rsidR="003078FD">
        <w:rPr>
          <w:rFonts w:ascii="Times New Roman" w:hAnsi="Times New Roman" w:cs="Times New Roman"/>
          <w:sz w:val="24"/>
          <w:szCs w:val="24"/>
          <w:lang w:val="sr-Cyrl-CS"/>
        </w:rPr>
        <w:t>Општина Мионица ће</w:t>
      </w:r>
      <w:r w:rsidR="007019B2">
        <w:rPr>
          <w:rFonts w:ascii="Times New Roman" w:hAnsi="Times New Roman" w:cs="Times New Roman"/>
          <w:sz w:val="24"/>
          <w:szCs w:val="24"/>
          <w:lang w:val="sr-Cyrl-CS"/>
        </w:rPr>
        <w:t xml:space="preserve"> у наредном периоду</w:t>
      </w:r>
      <w:r w:rsidR="003078FD">
        <w:rPr>
          <w:rFonts w:ascii="Times New Roman" w:hAnsi="Times New Roman" w:cs="Times New Roman"/>
          <w:sz w:val="24"/>
          <w:szCs w:val="24"/>
          <w:lang w:val="sr-Cyrl-CS"/>
        </w:rPr>
        <w:t xml:space="preserve"> наставити са пословима:</w:t>
      </w:r>
    </w:p>
    <w:p w:rsidR="007019B2" w:rsidRPr="007D3D91" w:rsidRDefault="007D3D91" w:rsidP="007D3D9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  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-пољопривред</w:t>
      </w:r>
      <w:r w:rsidR="00223B84">
        <w:rPr>
          <w:rFonts w:ascii="Times New Roman" w:hAnsi="Times New Roman" w:cs="Times New Roman"/>
          <w:sz w:val="24"/>
          <w:szCs w:val="24"/>
        </w:rPr>
        <w:t>e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 xml:space="preserve"> и руралн</w:t>
      </w:r>
      <w:r w:rsidR="00223B84">
        <w:rPr>
          <w:rFonts w:ascii="Times New Roman" w:hAnsi="Times New Roman" w:cs="Times New Roman"/>
          <w:sz w:val="24"/>
          <w:szCs w:val="24"/>
        </w:rPr>
        <w:t>o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развој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7019B2" w:rsidRPr="007D3D91" w:rsidRDefault="007D3D91" w:rsidP="007D3D9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-заштите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животне средине</w:t>
      </w:r>
    </w:p>
    <w:p w:rsidR="00205A29" w:rsidRPr="007D3D91" w:rsidRDefault="007D3D91" w:rsidP="007D3D9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3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  </w:t>
      </w:r>
      <w:r w:rsidR="00205A29" w:rsidRPr="007D3D91">
        <w:rPr>
          <w:rFonts w:ascii="Times New Roman" w:hAnsi="Times New Roman" w:cs="Times New Roman"/>
          <w:sz w:val="24"/>
          <w:szCs w:val="24"/>
          <w:lang w:val="sr-Cyrl-CS"/>
        </w:rPr>
        <w:t>-урбанизам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205A29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и просторно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г планирања</w:t>
      </w:r>
    </w:p>
    <w:p w:rsidR="007019B2" w:rsidRPr="007D3D91" w:rsidRDefault="007D3D91" w:rsidP="007D3D9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  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-вођења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политике локалног економског развоја</w:t>
      </w:r>
    </w:p>
    <w:p w:rsidR="00D83A39" w:rsidRPr="007D3D91" w:rsidRDefault="007D3D91" w:rsidP="007D3D9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436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  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-опорезивања</w:t>
      </w:r>
      <w:r w:rsidR="00D83A39" w:rsidRPr="007D3D91">
        <w:rPr>
          <w:rFonts w:ascii="Times New Roman" w:hAnsi="Times New Roman" w:cs="Times New Roman"/>
          <w:sz w:val="24"/>
          <w:szCs w:val="24"/>
          <w:lang w:val="sr-Cyrl-CS"/>
        </w:rPr>
        <w:t>,финансијско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г управљање и контроле,буџетирања</w:t>
      </w:r>
    </w:p>
    <w:p w:rsidR="007019B2" w:rsidRPr="007D3D91" w:rsidRDefault="007D3D91" w:rsidP="007D3D9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 </w:t>
      </w:r>
      <w:r w:rsidR="00D83A39" w:rsidRPr="007D3D91">
        <w:rPr>
          <w:rFonts w:ascii="Times New Roman" w:hAnsi="Times New Roman" w:cs="Times New Roman"/>
          <w:sz w:val="24"/>
          <w:szCs w:val="24"/>
          <w:lang w:val="sr-Cyrl-CS"/>
        </w:rPr>
        <w:t>-о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бављања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комуналне делатности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>одржавањ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и изградњ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>јавне расвете,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>зоохигијена,</w:t>
      </w:r>
      <w:r w:rsidR="00223B84">
        <w:rPr>
          <w:rFonts w:ascii="Times New Roman" w:hAnsi="Times New Roman" w:cs="Times New Roman"/>
          <w:sz w:val="24"/>
          <w:szCs w:val="24"/>
        </w:rPr>
        <w:t xml:space="preserve"> </w:t>
      </w:r>
      <w:r w:rsidR="007019B2" w:rsidRPr="007D3D91">
        <w:rPr>
          <w:rFonts w:ascii="Times New Roman" w:hAnsi="Times New Roman" w:cs="Times New Roman"/>
          <w:sz w:val="24"/>
          <w:szCs w:val="24"/>
          <w:lang w:val="sr-Cyrl-CS"/>
        </w:rPr>
        <w:t>одржавање чистоће на јавним површинама,и др.)</w:t>
      </w:r>
    </w:p>
    <w:p w:rsidR="00D83A39" w:rsidRPr="009D5071" w:rsidRDefault="007D3D91" w:rsidP="007D3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23B84">
        <w:rPr>
          <w:rFonts w:ascii="Times New Roman" w:hAnsi="Times New Roman" w:cs="Times New Roman"/>
          <w:sz w:val="24"/>
          <w:szCs w:val="24"/>
        </w:rPr>
        <w:t xml:space="preserve">     </w:t>
      </w:r>
      <w:r w:rsidR="00D83A39" w:rsidRPr="007D3D9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7464B">
        <w:rPr>
          <w:rFonts w:ascii="Times New Roman" w:hAnsi="Times New Roman" w:cs="Times New Roman"/>
          <w:sz w:val="24"/>
          <w:szCs w:val="24"/>
          <w:lang w:val="sr-Cyrl-CS"/>
        </w:rPr>
        <w:t>израде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пројектно-</w:t>
      </w:r>
      <w:r w:rsidR="00A34A0E">
        <w:rPr>
          <w:rFonts w:ascii="Times New Roman" w:hAnsi="Times New Roman" w:cs="Times New Roman"/>
          <w:sz w:val="24"/>
          <w:szCs w:val="24"/>
          <w:lang w:val="sr-Cyrl-CS"/>
        </w:rPr>
        <w:t>техничке документације са којом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ће општина Мионица аплицирати код одређених финансијских фондова за реализацију истих,а који су у функцији</w:t>
      </w:r>
      <w:r w:rsidR="00D83A39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>раз</w:t>
      </w:r>
      <w:r w:rsidR="009D5071">
        <w:rPr>
          <w:rFonts w:ascii="Times New Roman" w:hAnsi="Times New Roman" w:cs="Times New Roman"/>
          <w:sz w:val="24"/>
          <w:szCs w:val="24"/>
          <w:lang w:val="sr-Cyrl-CS"/>
        </w:rPr>
        <w:t>воја инфраструктуре</w:t>
      </w:r>
    </w:p>
    <w:p w:rsidR="003078FD" w:rsidRPr="007D3D91" w:rsidRDefault="007D3D91" w:rsidP="007D3D9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D5071">
        <w:rPr>
          <w:rFonts w:ascii="Times New Roman" w:hAnsi="Times New Roman" w:cs="Times New Roman"/>
          <w:sz w:val="24"/>
          <w:szCs w:val="24"/>
        </w:rPr>
        <w:t xml:space="preserve">   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-даљег</w:t>
      </w:r>
      <w:r w:rsidR="00D83A39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 развој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D83A39" w:rsidRPr="007D3D9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78FD" w:rsidRPr="007D3D91">
        <w:rPr>
          <w:rFonts w:ascii="Times New Roman" w:hAnsi="Times New Roman" w:cs="Times New Roman"/>
          <w:sz w:val="24"/>
          <w:szCs w:val="24"/>
          <w:lang w:val="sr-Cyrl-CS"/>
        </w:rPr>
        <w:t>туризма</w:t>
      </w:r>
    </w:p>
    <w:p w:rsidR="007019B2" w:rsidRPr="00E43624" w:rsidRDefault="00E43624" w:rsidP="00E4362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50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7019B2" w:rsidRPr="00E43624">
        <w:rPr>
          <w:rFonts w:ascii="Times New Roman" w:hAnsi="Times New Roman" w:cs="Times New Roman"/>
          <w:sz w:val="24"/>
          <w:szCs w:val="24"/>
          <w:lang w:val="sr-Cyrl-CS"/>
        </w:rPr>
        <w:t>обезбеђивање функционисања локалних установа у</w:t>
      </w:r>
      <w:r w:rsidR="009D5071">
        <w:rPr>
          <w:rFonts w:ascii="Times New Roman" w:hAnsi="Times New Roman" w:cs="Times New Roman"/>
          <w:sz w:val="24"/>
          <w:szCs w:val="24"/>
        </w:rPr>
        <w:t xml:space="preserve"> oбразовању,</w:t>
      </w:r>
      <w:r w:rsidR="007019B2" w:rsidRPr="00E43624">
        <w:rPr>
          <w:rFonts w:ascii="Times New Roman" w:hAnsi="Times New Roman" w:cs="Times New Roman"/>
          <w:sz w:val="24"/>
          <w:szCs w:val="24"/>
          <w:lang w:val="sr-Cyrl-CS"/>
        </w:rPr>
        <w:t xml:space="preserve"> култури и спорту</w:t>
      </w:r>
    </w:p>
    <w:p w:rsidR="00D83A39" w:rsidRPr="00E43624" w:rsidRDefault="00E43624" w:rsidP="00E4362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50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223B84">
        <w:rPr>
          <w:rFonts w:ascii="Times New Roman" w:hAnsi="Times New Roman" w:cs="Times New Roman"/>
          <w:sz w:val="24"/>
          <w:szCs w:val="24"/>
          <w:lang w:val="sr-Cyrl-CS"/>
        </w:rPr>
        <w:t>организацији</w:t>
      </w:r>
      <w:r w:rsidR="007019B2" w:rsidRPr="00E43624">
        <w:rPr>
          <w:rFonts w:ascii="Times New Roman" w:hAnsi="Times New Roman" w:cs="Times New Roman"/>
          <w:sz w:val="24"/>
          <w:szCs w:val="24"/>
          <w:lang w:val="sr-Cyrl-CS"/>
        </w:rPr>
        <w:t xml:space="preserve"> културних и спорстких активности и манифестација,</w:t>
      </w:r>
    </w:p>
    <w:p w:rsidR="007019B2" w:rsidRPr="00E43624" w:rsidRDefault="00E43624" w:rsidP="00E4362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</w:t>
      </w:r>
      <w:r w:rsidR="009D50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7019B2" w:rsidRPr="00E43624">
        <w:rPr>
          <w:rFonts w:ascii="Times New Roman" w:hAnsi="Times New Roman" w:cs="Times New Roman"/>
          <w:sz w:val="24"/>
          <w:szCs w:val="24"/>
          <w:lang w:val="sr-Cyrl-CS"/>
        </w:rPr>
        <w:t>пружању осталих услуга грађанима и привреди у складу са Законом.</w:t>
      </w:r>
    </w:p>
    <w:p w:rsidR="00FF11B7" w:rsidRDefault="00FF11B7" w:rsidP="009533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5A29" w:rsidRDefault="007019B2" w:rsidP="009533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Мионица ће обављати по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верене и пренесене послове из области:државне управе,социјалне заштите,здравствене заштите,предшколског,основног и ср</w:t>
      </w:r>
      <w:r w:rsidR="00E43624">
        <w:rPr>
          <w:rFonts w:ascii="Times New Roman" w:hAnsi="Times New Roman" w:cs="Times New Roman"/>
          <w:sz w:val="24"/>
          <w:szCs w:val="24"/>
          <w:lang w:val="sr-Cyrl-CS"/>
        </w:rPr>
        <w:t>едњег образовања,рада инспекцијски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х служби,екологије и очувања животне средине и др.</w:t>
      </w:r>
    </w:p>
    <w:p w:rsidR="0076292D" w:rsidRDefault="0076292D" w:rsidP="009533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5A29" w:rsidRDefault="009D5071" w:rsidP="009533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 Мионица ће и у 2019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.години наставити са спровођењем мера штед</w:t>
      </w:r>
      <w:r w:rsidR="00E4362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е и рационализације ,сходно предлозима Владе Републике Србије</w:t>
      </w:r>
      <w:r w:rsidR="00E43624">
        <w:rPr>
          <w:rFonts w:ascii="Times New Roman" w:hAnsi="Times New Roman" w:cs="Times New Roman"/>
          <w:sz w:val="24"/>
          <w:szCs w:val="24"/>
          <w:lang w:val="sr-Cyrl-CS"/>
        </w:rPr>
        <w:t xml:space="preserve"> и биће испоштоване мере предлож</w:t>
      </w:r>
      <w:r w:rsidR="00205A29">
        <w:rPr>
          <w:rFonts w:ascii="Times New Roman" w:hAnsi="Times New Roman" w:cs="Times New Roman"/>
          <w:sz w:val="24"/>
          <w:szCs w:val="24"/>
          <w:lang w:val="sr-Cyrl-CS"/>
        </w:rPr>
        <w:t>ене од стране Министарства финансија о начину планирања одређених врста расхода.</w:t>
      </w:r>
    </w:p>
    <w:p w:rsidR="0076292D" w:rsidRDefault="0076292D" w:rsidP="009533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72A3" w:rsidRPr="00FF11B7" w:rsidRDefault="009872A3" w:rsidP="009533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Успостављање одрживог нивоа расхода корисника бу</w:t>
      </w:r>
      <w:r w:rsidR="00D83A39">
        <w:rPr>
          <w:rFonts w:ascii="Times New Roman" w:hAnsi="Times New Roman" w:cs="Times New Roman"/>
          <w:sz w:val="24"/>
          <w:szCs w:val="24"/>
          <w:lang w:val="sr-Cyrl-CS"/>
        </w:rPr>
        <w:t>џ</w:t>
      </w:r>
      <w:r>
        <w:rPr>
          <w:rFonts w:ascii="Times New Roman" w:hAnsi="Times New Roman" w:cs="Times New Roman"/>
          <w:sz w:val="24"/>
          <w:szCs w:val="24"/>
          <w:lang w:val="sr-Cyrl-CS"/>
        </w:rPr>
        <w:t>етских средстава у односу на остварене приходе је ,такође,један од циљева за наредни период.</w:t>
      </w:r>
      <w:r w:rsidR="00FF11B7" w:rsidRPr="00FF11B7">
        <w:rPr>
          <w:rFonts w:ascii="Times New Roman" w:hAnsi="Times New Roman" w:cs="Times New Roman"/>
          <w:sz w:val="24"/>
          <w:szCs w:val="24"/>
        </w:rPr>
        <w:t xml:space="preserve"> </w:t>
      </w:r>
      <w:r w:rsidR="00FF11B7" w:rsidRPr="00374601">
        <w:rPr>
          <w:rFonts w:ascii="Times New Roman" w:hAnsi="Times New Roman" w:cs="Times New Roman"/>
          <w:sz w:val="24"/>
          <w:szCs w:val="24"/>
        </w:rPr>
        <w:t xml:space="preserve">Такође, у наредној години потребно је предузети </w:t>
      </w:r>
      <w:r w:rsidR="00E43624">
        <w:rPr>
          <w:rFonts w:ascii="Times New Roman" w:hAnsi="Times New Roman" w:cs="Times New Roman"/>
          <w:sz w:val="24"/>
          <w:szCs w:val="24"/>
          <w:lang w:val="sr-Cyrl-CS"/>
        </w:rPr>
        <w:t xml:space="preserve"> даље </w:t>
      </w:r>
      <w:r w:rsidR="00FF11B7" w:rsidRPr="00374601">
        <w:rPr>
          <w:rFonts w:ascii="Times New Roman" w:hAnsi="Times New Roman" w:cs="Times New Roman"/>
          <w:sz w:val="24"/>
          <w:szCs w:val="24"/>
        </w:rPr>
        <w:t>активности које ће бити усмерене ка повећању наплате пореских и непореских прихода</w:t>
      </w:r>
      <w:r w:rsidR="00FF11B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03B00" w:rsidRPr="00792C7A" w:rsidRDefault="007D0190" w:rsidP="0095336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162A7" w:rsidRPr="00374601" w:rsidRDefault="00221789" w:rsidP="00953362">
      <w:pPr>
        <w:jc w:val="both"/>
        <w:rPr>
          <w:rFonts w:ascii="Times New Roman" w:hAnsi="Times New Roman" w:cs="Times New Roman"/>
          <w:sz w:val="24"/>
          <w:szCs w:val="24"/>
        </w:rPr>
      </w:pPr>
      <w:r w:rsidRPr="00374601">
        <w:rPr>
          <w:rFonts w:ascii="Times New Roman" w:hAnsi="Times New Roman" w:cs="Times New Roman"/>
          <w:sz w:val="24"/>
          <w:szCs w:val="24"/>
        </w:rPr>
        <w:t xml:space="preserve"> </w:t>
      </w:r>
      <w:r w:rsidR="007D019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5650D" w:rsidRPr="00175FC4" w:rsidRDefault="0036455C" w:rsidP="00175FC4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175FC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Процена прихода и примања ,рас</w:t>
      </w:r>
      <w:r w:rsidR="009D5071" w:rsidRPr="00175FC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хода и издатака буџета општине Мионица за 2019</w:t>
      </w:r>
      <w:r w:rsidRPr="00175FC4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.годину,са пројекцијама за наредне две године </w:t>
      </w:r>
    </w:p>
    <w:p w:rsidR="0036455C" w:rsidRPr="0036455C" w:rsidRDefault="0036455C" w:rsidP="0036455C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651A92" w:rsidRDefault="00651A92" w:rsidP="00651A9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E5711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Полазна основа за процену прихода и прим</w:t>
      </w:r>
      <w:r w:rsidR="009D507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ања и расхода и издатака за 2019</w:t>
      </w:r>
      <w:r w:rsidRPr="00E5711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.годину </w:t>
      </w:r>
      <w:r w:rsidR="00E57111" w:rsidRPr="00E57111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су </w:t>
      </w:r>
      <w:r w:rsidR="00E57111" w:rsidRPr="00A34A0E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укупни </w:t>
      </w:r>
      <w:r w:rsidR="00E57111" w:rsidRPr="00A34A0E">
        <w:rPr>
          <w:rFonts w:ascii="Times New Roman" w:hAnsi="Times New Roman" w:cs="Times New Roman"/>
          <w:b/>
          <w:sz w:val="24"/>
          <w:szCs w:val="24"/>
          <w:lang w:val="sr-Cyrl-CS"/>
        </w:rPr>
        <w:t>прих</w:t>
      </w:r>
      <w:r w:rsidR="009D5071">
        <w:rPr>
          <w:rFonts w:ascii="Times New Roman" w:hAnsi="Times New Roman" w:cs="Times New Roman"/>
          <w:b/>
          <w:sz w:val="24"/>
          <w:szCs w:val="24"/>
          <w:lang w:val="sr-Cyrl-CS"/>
        </w:rPr>
        <w:t>оди  остварени у првих седам</w:t>
      </w:r>
      <w:r w:rsidR="0036455C" w:rsidRPr="00A34A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месеци </w:t>
      </w:r>
      <w:r w:rsidR="009D50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2018</w:t>
      </w:r>
      <w:r w:rsidR="00E57111" w:rsidRPr="00A34A0E">
        <w:rPr>
          <w:rFonts w:ascii="Times New Roman" w:hAnsi="Times New Roman" w:cs="Times New Roman"/>
          <w:b/>
          <w:sz w:val="24"/>
          <w:szCs w:val="24"/>
          <w:lang w:val="sr-Cyrl-CS"/>
        </w:rPr>
        <w:t>.години и њихова процена остварења  до краја те године</w:t>
      </w:r>
      <w:r w:rsidR="0036455C">
        <w:rPr>
          <w:rFonts w:ascii="Times New Roman" w:hAnsi="Times New Roman" w:cs="Times New Roman"/>
          <w:sz w:val="24"/>
          <w:szCs w:val="24"/>
          <w:lang w:val="sr-Cyrl-CS"/>
        </w:rPr>
        <w:t xml:space="preserve">,што представља </w:t>
      </w:r>
      <w:r w:rsidR="00C0603B">
        <w:rPr>
          <w:rFonts w:ascii="Times New Roman" w:hAnsi="Times New Roman" w:cs="Times New Roman"/>
          <w:sz w:val="24"/>
          <w:szCs w:val="24"/>
          <w:lang w:val="sr-Cyrl-CS"/>
        </w:rPr>
        <w:t>основ за примену горе наведених макроекономских параметара</w:t>
      </w:r>
      <w:r w:rsidR="009D507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21475" w:rsidRDefault="007D0190" w:rsidP="000214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021475">
        <w:rPr>
          <w:rFonts w:ascii="TimesNewRomanPSMT" w:hAnsi="TimesNewRomanPSMT" w:cs="TimesNewRomanPSMT"/>
          <w:sz w:val="24"/>
          <w:szCs w:val="24"/>
        </w:rPr>
        <w:t>.</w:t>
      </w:r>
    </w:p>
    <w:p w:rsidR="007D0190" w:rsidRPr="007D0190" w:rsidRDefault="007D0190" w:rsidP="000214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021475" w:rsidRPr="005B7454" w:rsidRDefault="007D0190" w:rsidP="000214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</w:t>
      </w:r>
      <w:r w:rsidR="00E57111" w:rsidRPr="005B7454">
        <w:rPr>
          <w:rFonts w:ascii="TimesNewRomanPSMT" w:hAnsi="TimesNewRomanPSMT" w:cs="TimesNewRomanPSMT"/>
          <w:b/>
          <w:sz w:val="24"/>
          <w:szCs w:val="24"/>
          <w:lang w:val="sr-Cyrl-CS"/>
        </w:rPr>
        <w:t>Процена прихода и примања буџета</w:t>
      </w:r>
      <w:r w:rsidR="00195975" w:rsidRPr="005B7454">
        <w:rPr>
          <w:rFonts w:ascii="TimesNewRomanPSMT" w:hAnsi="TimesNewRomanPSMT" w:cs="TimesNewRomanPSMT"/>
          <w:b/>
          <w:sz w:val="24"/>
          <w:szCs w:val="24"/>
          <w:lang w:val="sr-Cyrl-CS"/>
        </w:rPr>
        <w:t>(извор 01) дата је у следећој табели</w:t>
      </w:r>
    </w:p>
    <w:p w:rsidR="00415ED6" w:rsidRPr="00374601" w:rsidRDefault="00415ED6" w:rsidP="00415ED6">
      <w:pPr>
        <w:pStyle w:val="ListParagraph"/>
        <w:autoSpaceDE w:val="0"/>
        <w:autoSpaceDN w:val="0"/>
        <w:adjustRightInd w:val="0"/>
        <w:ind w:left="78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ook w:val="04A0"/>
      </w:tblPr>
      <w:tblGrid>
        <w:gridCol w:w="1380"/>
        <w:gridCol w:w="2341"/>
        <w:gridCol w:w="1416"/>
        <w:gridCol w:w="1436"/>
        <w:gridCol w:w="1416"/>
        <w:gridCol w:w="1475"/>
      </w:tblGrid>
      <w:tr w:rsidR="0079682A" w:rsidRPr="00374601" w:rsidTr="00784D55">
        <w:trPr>
          <w:gridAfter w:val="1"/>
          <w:wAfter w:w="1475" w:type="dxa"/>
          <w:trHeight w:val="462"/>
        </w:trPr>
        <w:tc>
          <w:tcPr>
            <w:tcW w:w="1380" w:type="dxa"/>
          </w:tcPr>
          <w:p w:rsidR="0079682A" w:rsidRPr="00C0603B" w:rsidRDefault="0079682A" w:rsidP="00A1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74601">
              <w:rPr>
                <w:rFonts w:ascii="Times New Roman" w:hAnsi="Times New Roman" w:cs="Times New Roman"/>
                <w:b/>
                <w:sz w:val="24"/>
                <w:szCs w:val="24"/>
              </w:rPr>
              <w:t>Ек.класиф</w:t>
            </w:r>
          </w:p>
        </w:tc>
        <w:tc>
          <w:tcPr>
            <w:tcW w:w="2341" w:type="dxa"/>
          </w:tcPr>
          <w:p w:rsidR="0079682A" w:rsidRPr="00374601" w:rsidRDefault="0079682A" w:rsidP="00DC4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01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416" w:type="dxa"/>
          </w:tcPr>
          <w:p w:rsidR="0079682A" w:rsidRDefault="0079682A" w:rsidP="00A1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</w:t>
            </w:r>
          </w:p>
          <w:p w:rsidR="0079682A" w:rsidRPr="00E57111" w:rsidRDefault="0079682A" w:rsidP="00A1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остварења</w:t>
            </w:r>
          </w:p>
        </w:tc>
        <w:tc>
          <w:tcPr>
            <w:tcW w:w="2852" w:type="dxa"/>
            <w:gridSpan w:val="2"/>
          </w:tcPr>
          <w:p w:rsidR="0079682A" w:rsidRPr="00784D55" w:rsidRDefault="0079682A" w:rsidP="00784D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784D55">
              <w:rPr>
                <w:rFonts w:ascii="Times New Roman" w:hAnsi="Times New Roman" w:cs="Times New Roman"/>
                <w:b/>
              </w:rPr>
              <w:t>Пројекција</w:t>
            </w:r>
          </w:p>
        </w:tc>
      </w:tr>
      <w:tr w:rsidR="00784D55" w:rsidRPr="0079682A" w:rsidTr="00784D55">
        <w:trPr>
          <w:gridAfter w:val="1"/>
          <w:wAfter w:w="1475" w:type="dxa"/>
        </w:trPr>
        <w:tc>
          <w:tcPr>
            <w:tcW w:w="1380" w:type="dxa"/>
          </w:tcPr>
          <w:p w:rsidR="00784D55" w:rsidRPr="00E57111" w:rsidRDefault="00784D55" w:rsidP="0060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1" w:type="dxa"/>
          </w:tcPr>
          <w:p w:rsidR="00784D55" w:rsidRPr="00E57111" w:rsidRDefault="00784D55" w:rsidP="00A1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6" w:type="dxa"/>
          </w:tcPr>
          <w:p w:rsidR="00784D55" w:rsidRPr="00E57111" w:rsidRDefault="00784D55" w:rsidP="0002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2018</w:t>
            </w:r>
          </w:p>
        </w:tc>
        <w:tc>
          <w:tcPr>
            <w:tcW w:w="1436" w:type="dxa"/>
          </w:tcPr>
          <w:p w:rsidR="00784D55" w:rsidRPr="009D5071" w:rsidRDefault="00784D55" w:rsidP="0002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0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784D55" w:rsidRPr="009D5071" w:rsidRDefault="00784D55" w:rsidP="000214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84D55" w:rsidRPr="00374601" w:rsidTr="00784D55">
        <w:trPr>
          <w:gridAfter w:val="1"/>
          <w:wAfter w:w="1475" w:type="dxa"/>
        </w:trPr>
        <w:tc>
          <w:tcPr>
            <w:tcW w:w="1380" w:type="dxa"/>
          </w:tcPr>
          <w:p w:rsidR="00784D55" w:rsidRPr="00C209AF" w:rsidRDefault="00784D55" w:rsidP="0060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00000</w:t>
            </w:r>
          </w:p>
        </w:tc>
        <w:tc>
          <w:tcPr>
            <w:tcW w:w="2341" w:type="dxa"/>
          </w:tcPr>
          <w:p w:rsidR="00784D55" w:rsidRPr="00C209AF" w:rsidRDefault="00784D55" w:rsidP="00A1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ТЕКУЋИ ПРИХОДИ</w:t>
            </w:r>
          </w:p>
        </w:tc>
        <w:tc>
          <w:tcPr>
            <w:tcW w:w="1416" w:type="dxa"/>
          </w:tcPr>
          <w:p w:rsidR="00784D55" w:rsidRPr="004B2DB9" w:rsidRDefault="00784D55" w:rsidP="000C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.000.000</w:t>
            </w:r>
          </w:p>
        </w:tc>
        <w:tc>
          <w:tcPr>
            <w:tcW w:w="1436" w:type="dxa"/>
          </w:tcPr>
          <w:p w:rsidR="00784D55" w:rsidRPr="004B2DB9" w:rsidRDefault="00784D55" w:rsidP="00DC4F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00.000</w:t>
            </w:r>
          </w:p>
        </w:tc>
        <w:tc>
          <w:tcPr>
            <w:tcW w:w="1416" w:type="dxa"/>
          </w:tcPr>
          <w:p w:rsidR="00784D55" w:rsidRPr="00034FD1" w:rsidRDefault="00784D55" w:rsidP="0041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5123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123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51236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</w:t>
            </w:r>
          </w:p>
        </w:tc>
      </w:tr>
      <w:tr w:rsidR="00784D55" w:rsidRPr="00374601" w:rsidTr="00784D55">
        <w:trPr>
          <w:gridAfter w:val="1"/>
          <w:wAfter w:w="1475" w:type="dxa"/>
        </w:trPr>
        <w:tc>
          <w:tcPr>
            <w:tcW w:w="1380" w:type="dxa"/>
          </w:tcPr>
          <w:p w:rsidR="00784D55" w:rsidRPr="00C209AF" w:rsidRDefault="00784D55" w:rsidP="0060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800000</w:t>
            </w:r>
          </w:p>
        </w:tc>
        <w:tc>
          <w:tcPr>
            <w:tcW w:w="2341" w:type="dxa"/>
          </w:tcPr>
          <w:p w:rsidR="00784D55" w:rsidRDefault="00784D55" w:rsidP="00A1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ПРИМАЊА ОД </w:t>
            </w:r>
          </w:p>
          <w:p w:rsidR="00784D55" w:rsidRDefault="00784D55" w:rsidP="00A1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ПРОДАЈЕ </w:t>
            </w:r>
          </w:p>
          <w:p w:rsidR="00784D55" w:rsidRDefault="00784D55" w:rsidP="00A1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НЕФИНАНСИЈСКЕ </w:t>
            </w:r>
          </w:p>
          <w:p w:rsidR="00784D55" w:rsidRPr="00C209AF" w:rsidRDefault="00784D55" w:rsidP="00A1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ИМОВИНЕ </w:t>
            </w:r>
          </w:p>
        </w:tc>
        <w:tc>
          <w:tcPr>
            <w:tcW w:w="1416" w:type="dxa"/>
          </w:tcPr>
          <w:p w:rsidR="00784D55" w:rsidRPr="00E3232E" w:rsidRDefault="00E3232E" w:rsidP="0041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3232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36" w:type="dxa"/>
          </w:tcPr>
          <w:p w:rsidR="00784D55" w:rsidRPr="00E3232E" w:rsidRDefault="00E3232E" w:rsidP="0041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784D55" w:rsidRPr="00E3232E" w:rsidRDefault="00E3232E" w:rsidP="00415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682A" w:rsidRPr="00374601" w:rsidTr="0079682A">
        <w:tc>
          <w:tcPr>
            <w:tcW w:w="1380" w:type="dxa"/>
          </w:tcPr>
          <w:p w:rsidR="0079682A" w:rsidRPr="00C209AF" w:rsidRDefault="0079682A" w:rsidP="0060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900000</w:t>
            </w:r>
          </w:p>
        </w:tc>
        <w:tc>
          <w:tcPr>
            <w:tcW w:w="2341" w:type="dxa"/>
          </w:tcPr>
          <w:p w:rsidR="0079682A" w:rsidRDefault="0079682A" w:rsidP="00A1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ПРИМАЊА ОД</w:t>
            </w:r>
          </w:p>
          <w:p w:rsidR="0079682A" w:rsidRDefault="0079682A" w:rsidP="00A1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ЗАДУЖИВАЊА И</w:t>
            </w:r>
          </w:p>
          <w:p w:rsidR="0079682A" w:rsidRDefault="0079682A" w:rsidP="00A1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ПРОДАЈЕ</w:t>
            </w:r>
          </w:p>
          <w:p w:rsidR="0079682A" w:rsidRDefault="0079682A" w:rsidP="00A1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ФИНАНСИЈСКЕ</w:t>
            </w:r>
          </w:p>
          <w:p w:rsidR="0079682A" w:rsidRPr="00C209AF" w:rsidRDefault="0079682A" w:rsidP="00A1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ИМОВИНЕ</w:t>
            </w:r>
          </w:p>
        </w:tc>
        <w:tc>
          <w:tcPr>
            <w:tcW w:w="1416" w:type="dxa"/>
          </w:tcPr>
          <w:p w:rsidR="0079682A" w:rsidRPr="00034FD1" w:rsidRDefault="0079682A" w:rsidP="000C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36" w:type="dxa"/>
          </w:tcPr>
          <w:p w:rsidR="0079682A" w:rsidRPr="00034FD1" w:rsidRDefault="0079682A" w:rsidP="00F97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6" w:type="dxa"/>
          </w:tcPr>
          <w:p w:rsidR="0079682A" w:rsidRPr="00034FD1" w:rsidRDefault="0079682A" w:rsidP="00A13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75" w:type="dxa"/>
            <w:vMerge w:val="restart"/>
            <w:tcBorders>
              <w:top w:val="nil"/>
              <w:right w:val="nil"/>
            </w:tcBorders>
          </w:tcPr>
          <w:p w:rsidR="0079682A" w:rsidRPr="00034FD1" w:rsidRDefault="0079682A" w:rsidP="00A13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9682A" w:rsidRPr="00034FD1" w:rsidRDefault="0079682A" w:rsidP="00A13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682A" w:rsidRPr="00374601" w:rsidTr="0079682A">
        <w:tc>
          <w:tcPr>
            <w:tcW w:w="1380" w:type="dxa"/>
          </w:tcPr>
          <w:p w:rsidR="0079682A" w:rsidRDefault="0079682A" w:rsidP="00603B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41" w:type="dxa"/>
          </w:tcPr>
          <w:p w:rsidR="0079682A" w:rsidRPr="00C209AF" w:rsidRDefault="0079682A" w:rsidP="00A16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</w:t>
            </w:r>
            <w:r w:rsidRPr="00C209A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416" w:type="dxa"/>
          </w:tcPr>
          <w:p w:rsidR="0079682A" w:rsidRPr="009D6253" w:rsidRDefault="00E3232E" w:rsidP="000C62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500.000.000</w:t>
            </w:r>
          </w:p>
        </w:tc>
        <w:tc>
          <w:tcPr>
            <w:tcW w:w="1436" w:type="dxa"/>
          </w:tcPr>
          <w:p w:rsidR="0079682A" w:rsidRPr="009D6253" w:rsidRDefault="00E3232E" w:rsidP="00F974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531.000.000</w:t>
            </w:r>
          </w:p>
        </w:tc>
        <w:tc>
          <w:tcPr>
            <w:tcW w:w="1416" w:type="dxa"/>
          </w:tcPr>
          <w:p w:rsidR="0079682A" w:rsidRPr="009D6253" w:rsidRDefault="0079682A" w:rsidP="00A13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D625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="00E323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35.000.000</w:t>
            </w:r>
          </w:p>
        </w:tc>
        <w:tc>
          <w:tcPr>
            <w:tcW w:w="1475" w:type="dxa"/>
            <w:vMerge/>
            <w:tcBorders>
              <w:bottom w:val="nil"/>
              <w:right w:val="nil"/>
            </w:tcBorders>
          </w:tcPr>
          <w:p w:rsidR="0079682A" w:rsidRPr="009D6253" w:rsidRDefault="0079682A" w:rsidP="00A13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034FD1" w:rsidRDefault="00034FD1" w:rsidP="00284BB3">
      <w:pPr>
        <w:autoSpaceDE w:val="0"/>
        <w:autoSpaceDN w:val="0"/>
        <w:adjustRightInd w:val="0"/>
        <w:spacing w:after="12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5B7454" w:rsidRDefault="005B7454" w:rsidP="00EB7F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7454" w:rsidRDefault="005B7454" w:rsidP="00EB7F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7454" w:rsidRDefault="005B7454" w:rsidP="00EB7F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7454" w:rsidRDefault="005B7454" w:rsidP="00EB7F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7454" w:rsidRDefault="005B7454" w:rsidP="00EB7F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7454" w:rsidRDefault="005B7454" w:rsidP="00EB7F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7FFE" w:rsidRPr="00495B5D" w:rsidRDefault="00034FD1" w:rsidP="00EB7F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Процена расхода и издатака</w:t>
      </w:r>
      <w:r w:rsidR="00EB7FF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п</w:t>
      </w:r>
      <w:r w:rsidR="00D921E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директним </w:t>
      </w:r>
      <w:r w:rsidR="008D7B7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 индиректним </w:t>
      </w:r>
      <w:r w:rsidR="00D921E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корисницима</w:t>
      </w:r>
      <w:r w:rsidR="00BC5C4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дата је у следећој табели:</w:t>
      </w:r>
    </w:p>
    <w:tbl>
      <w:tblPr>
        <w:tblStyle w:val="TableGrid"/>
        <w:tblW w:w="0" w:type="auto"/>
        <w:tblInd w:w="137" w:type="dxa"/>
        <w:tblLook w:val="04A0"/>
      </w:tblPr>
      <w:tblGrid>
        <w:gridCol w:w="1357"/>
        <w:gridCol w:w="1777"/>
        <w:gridCol w:w="1431"/>
        <w:gridCol w:w="1416"/>
        <w:gridCol w:w="1584"/>
      </w:tblGrid>
      <w:tr w:rsidR="00B11BF9" w:rsidRPr="00247A05" w:rsidTr="00B11BF9">
        <w:tc>
          <w:tcPr>
            <w:tcW w:w="1357" w:type="dxa"/>
            <w:shd w:val="clear" w:color="auto" w:fill="BFBFBF" w:themeFill="background1" w:themeFillShade="BF"/>
            <w:vAlign w:val="center"/>
          </w:tcPr>
          <w:p w:rsidR="00B11BF9" w:rsidRPr="00B11BF9" w:rsidRDefault="00B11BF9" w:rsidP="00086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Р.б.</w:t>
            </w:r>
          </w:p>
        </w:tc>
        <w:tc>
          <w:tcPr>
            <w:tcW w:w="1777" w:type="dxa"/>
            <w:shd w:val="clear" w:color="auto" w:fill="BFBFBF" w:themeFill="background1" w:themeFillShade="BF"/>
            <w:vAlign w:val="center"/>
          </w:tcPr>
          <w:p w:rsidR="00B11BF9" w:rsidRPr="00247A05" w:rsidRDefault="00B11BF9" w:rsidP="00086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БУЏЕТСКИ </w:t>
            </w:r>
            <w:r w:rsidRPr="00247A0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КОРИСНИК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center"/>
          </w:tcPr>
          <w:p w:rsidR="00B11BF9" w:rsidRPr="002B27A6" w:rsidRDefault="00B11BF9" w:rsidP="00086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ПРОЦЕНА ИЗВРШЕЊА</w:t>
            </w:r>
            <w:r w:rsidRPr="002B27A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B27A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. </w:t>
            </w:r>
          </w:p>
        </w:tc>
        <w:tc>
          <w:tcPr>
            <w:tcW w:w="1416" w:type="dxa"/>
            <w:shd w:val="clear" w:color="auto" w:fill="BFBFBF" w:themeFill="background1" w:themeFillShade="BF"/>
            <w:vAlign w:val="center"/>
          </w:tcPr>
          <w:p w:rsidR="00B11BF9" w:rsidRPr="00247A05" w:rsidRDefault="00B11BF9" w:rsidP="00086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247A0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ПРОЦЕНА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47A0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584" w:type="dxa"/>
            <w:shd w:val="clear" w:color="auto" w:fill="BFBFBF" w:themeFill="background1" w:themeFillShade="BF"/>
            <w:vAlign w:val="center"/>
          </w:tcPr>
          <w:p w:rsidR="00B11BF9" w:rsidRPr="00247A05" w:rsidRDefault="00B11BF9" w:rsidP="00086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bookmarkStart w:id="1" w:name="OLE_LINK44"/>
            <w:bookmarkStart w:id="2" w:name="OLE_LINK45"/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ПРОЈЕКЦИЈА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247A0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bookmarkEnd w:id="1"/>
            <w:bookmarkEnd w:id="2"/>
          </w:p>
        </w:tc>
      </w:tr>
      <w:tr w:rsidR="00B11BF9" w:rsidRPr="00247A05" w:rsidTr="00B11BF9">
        <w:tc>
          <w:tcPr>
            <w:tcW w:w="1357" w:type="dxa"/>
            <w:vAlign w:val="center"/>
          </w:tcPr>
          <w:p w:rsidR="00B11BF9" w:rsidRPr="00247A05" w:rsidRDefault="00B11BF9" w:rsidP="000860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47A0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777" w:type="dxa"/>
          </w:tcPr>
          <w:p w:rsidR="00B11BF9" w:rsidRPr="00247A05" w:rsidRDefault="00B11BF9" w:rsidP="000860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47A0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СКУПШТИНА ОПШТИНЕ</w:t>
            </w:r>
          </w:p>
        </w:tc>
        <w:tc>
          <w:tcPr>
            <w:tcW w:w="1431" w:type="dxa"/>
            <w:vAlign w:val="center"/>
          </w:tcPr>
          <w:p w:rsidR="00B11BF9" w:rsidRPr="00D921E6" w:rsidRDefault="0058278F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416" w:type="dxa"/>
            <w:vAlign w:val="center"/>
          </w:tcPr>
          <w:p w:rsidR="00B11BF9" w:rsidRPr="00D921E6" w:rsidRDefault="0058278F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584" w:type="dxa"/>
            <w:vAlign w:val="center"/>
          </w:tcPr>
          <w:p w:rsidR="00B11BF9" w:rsidRPr="00D921E6" w:rsidRDefault="0058278F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</w:tr>
      <w:tr w:rsidR="00B11BF9" w:rsidRPr="00247A05" w:rsidTr="00B11BF9">
        <w:tc>
          <w:tcPr>
            <w:tcW w:w="1357" w:type="dxa"/>
            <w:vAlign w:val="center"/>
          </w:tcPr>
          <w:p w:rsidR="00B11BF9" w:rsidRPr="00247A05" w:rsidRDefault="00B11BF9" w:rsidP="000860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47A0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777" w:type="dxa"/>
          </w:tcPr>
          <w:p w:rsidR="00B11BF9" w:rsidRPr="00247A05" w:rsidRDefault="00B11BF9" w:rsidP="00596A3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47A0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ПРЕДСЕДНИК ОПШТИНЕ </w:t>
            </w:r>
          </w:p>
        </w:tc>
        <w:tc>
          <w:tcPr>
            <w:tcW w:w="1431" w:type="dxa"/>
            <w:vAlign w:val="center"/>
          </w:tcPr>
          <w:p w:rsidR="00B11BF9" w:rsidRPr="00D921E6" w:rsidRDefault="0058278F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416" w:type="dxa"/>
            <w:vAlign w:val="center"/>
          </w:tcPr>
          <w:p w:rsidR="00B11BF9" w:rsidRPr="0065046E" w:rsidRDefault="0058278F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0.000</w:t>
            </w:r>
          </w:p>
        </w:tc>
        <w:tc>
          <w:tcPr>
            <w:tcW w:w="1584" w:type="dxa"/>
            <w:vAlign w:val="center"/>
          </w:tcPr>
          <w:p w:rsidR="00B11BF9" w:rsidRPr="0065046E" w:rsidRDefault="0058278F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0.000</w:t>
            </w:r>
          </w:p>
        </w:tc>
      </w:tr>
      <w:tr w:rsidR="00B11BF9" w:rsidRPr="00247A05" w:rsidTr="00B11BF9">
        <w:tc>
          <w:tcPr>
            <w:tcW w:w="1357" w:type="dxa"/>
            <w:vAlign w:val="center"/>
          </w:tcPr>
          <w:p w:rsidR="00B11BF9" w:rsidRPr="00247A05" w:rsidRDefault="00B11BF9" w:rsidP="000860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777" w:type="dxa"/>
          </w:tcPr>
          <w:p w:rsidR="00B11BF9" w:rsidRPr="00247A05" w:rsidRDefault="00B11BF9" w:rsidP="00596A3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47A0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ОПШТИНСКО ВЕЋЕ</w:t>
            </w:r>
          </w:p>
        </w:tc>
        <w:tc>
          <w:tcPr>
            <w:tcW w:w="1431" w:type="dxa"/>
            <w:vAlign w:val="center"/>
          </w:tcPr>
          <w:p w:rsidR="00B11BF9" w:rsidRDefault="0069138C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</w:t>
            </w:r>
            <w:r w:rsidR="0058278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416" w:type="dxa"/>
            <w:vAlign w:val="center"/>
          </w:tcPr>
          <w:p w:rsidR="00B11BF9" w:rsidRPr="007A7135" w:rsidRDefault="0058278F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4.000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584" w:type="dxa"/>
            <w:vAlign w:val="center"/>
          </w:tcPr>
          <w:p w:rsidR="00B11BF9" w:rsidRPr="007A7135" w:rsidRDefault="0058278F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9138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</w:t>
            </w:r>
          </w:p>
        </w:tc>
      </w:tr>
      <w:tr w:rsidR="00B11BF9" w:rsidRPr="00247A05" w:rsidTr="00B11BF9">
        <w:tc>
          <w:tcPr>
            <w:tcW w:w="1357" w:type="dxa"/>
            <w:vAlign w:val="center"/>
          </w:tcPr>
          <w:p w:rsidR="00B11BF9" w:rsidRPr="00247A05" w:rsidRDefault="00B11BF9" w:rsidP="000860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777" w:type="dxa"/>
          </w:tcPr>
          <w:p w:rsidR="00B11BF9" w:rsidRPr="0058278F" w:rsidRDefault="00B11BF9" w:rsidP="000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A0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ОПШТИНСКА УПРАВА</w:t>
            </w:r>
          </w:p>
        </w:tc>
        <w:tc>
          <w:tcPr>
            <w:tcW w:w="1431" w:type="dxa"/>
            <w:vAlign w:val="center"/>
          </w:tcPr>
          <w:p w:rsidR="00B11BF9" w:rsidRPr="00910D20" w:rsidRDefault="00512365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416" w:type="dxa"/>
            <w:vAlign w:val="center"/>
          </w:tcPr>
          <w:p w:rsidR="00B11BF9" w:rsidRPr="00B759CB" w:rsidRDefault="00512365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584" w:type="dxa"/>
            <w:vAlign w:val="center"/>
          </w:tcPr>
          <w:p w:rsidR="00B11BF9" w:rsidRPr="00B759CB" w:rsidRDefault="009948D5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</w:t>
            </w:r>
          </w:p>
        </w:tc>
      </w:tr>
      <w:tr w:rsidR="00B11BF9" w:rsidRPr="00247A05" w:rsidTr="00B11BF9">
        <w:trPr>
          <w:trHeight w:val="265"/>
        </w:trPr>
        <w:tc>
          <w:tcPr>
            <w:tcW w:w="1357" w:type="dxa"/>
            <w:vAlign w:val="center"/>
          </w:tcPr>
          <w:p w:rsidR="00B11BF9" w:rsidRPr="00596A3D" w:rsidRDefault="00B11BF9" w:rsidP="000860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777" w:type="dxa"/>
          </w:tcPr>
          <w:p w:rsidR="00B11BF9" w:rsidRPr="008F2FAB" w:rsidRDefault="00B11BF9" w:rsidP="000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МЕСНЕ ЗАЈЕДНИЦЕ</w:t>
            </w:r>
          </w:p>
        </w:tc>
        <w:tc>
          <w:tcPr>
            <w:tcW w:w="1431" w:type="dxa"/>
            <w:vAlign w:val="center"/>
          </w:tcPr>
          <w:p w:rsidR="00B11BF9" w:rsidRPr="00B759CB" w:rsidRDefault="0058278F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416" w:type="dxa"/>
            <w:vAlign w:val="center"/>
          </w:tcPr>
          <w:p w:rsidR="00B11BF9" w:rsidRPr="00B759CB" w:rsidRDefault="0058278F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584" w:type="dxa"/>
            <w:vAlign w:val="center"/>
          </w:tcPr>
          <w:p w:rsidR="00B11BF9" w:rsidRPr="0058278F" w:rsidRDefault="0058278F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B11BF9" w:rsidRPr="00247A05" w:rsidTr="00B11BF9">
        <w:tc>
          <w:tcPr>
            <w:tcW w:w="1357" w:type="dxa"/>
            <w:vAlign w:val="center"/>
          </w:tcPr>
          <w:p w:rsidR="00B11BF9" w:rsidRPr="00596A3D" w:rsidRDefault="00B11BF9" w:rsidP="000860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777" w:type="dxa"/>
          </w:tcPr>
          <w:p w:rsidR="00B11BF9" w:rsidRPr="008F2FAB" w:rsidRDefault="00B11BF9" w:rsidP="00596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КУЛТУРНИ ЦЕНТАР МИОНИЦА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B11BF9" w:rsidRPr="00B759CB" w:rsidRDefault="00BE631D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.000.000</w:t>
            </w:r>
          </w:p>
        </w:tc>
        <w:tc>
          <w:tcPr>
            <w:tcW w:w="1416" w:type="dxa"/>
            <w:vAlign w:val="center"/>
          </w:tcPr>
          <w:p w:rsidR="00B11BF9" w:rsidRPr="00B759CB" w:rsidRDefault="00BE631D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.000.000</w:t>
            </w:r>
          </w:p>
        </w:tc>
        <w:tc>
          <w:tcPr>
            <w:tcW w:w="1584" w:type="dxa"/>
            <w:vAlign w:val="center"/>
          </w:tcPr>
          <w:p w:rsidR="00B11BF9" w:rsidRPr="00B759CB" w:rsidRDefault="00BE631D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0.000</w:t>
            </w:r>
          </w:p>
        </w:tc>
      </w:tr>
      <w:tr w:rsidR="00B11BF9" w:rsidRPr="00247A05" w:rsidTr="00B11BF9">
        <w:tc>
          <w:tcPr>
            <w:tcW w:w="1357" w:type="dxa"/>
            <w:vAlign w:val="center"/>
          </w:tcPr>
          <w:p w:rsidR="00B11BF9" w:rsidRPr="00596A3D" w:rsidRDefault="00B11BF9" w:rsidP="000860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777" w:type="dxa"/>
          </w:tcPr>
          <w:p w:rsidR="00B11BF9" w:rsidRPr="00596A3D" w:rsidRDefault="00B11BF9" w:rsidP="00596A3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БИБЛИОТЕКА МИЛОВАН ГЛИШИЋ</w:t>
            </w:r>
          </w:p>
        </w:tc>
        <w:tc>
          <w:tcPr>
            <w:tcW w:w="1431" w:type="dxa"/>
            <w:vAlign w:val="center"/>
          </w:tcPr>
          <w:p w:rsidR="00B11BF9" w:rsidRPr="00B759CB" w:rsidRDefault="00BE631D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.500.000</w:t>
            </w:r>
          </w:p>
        </w:tc>
        <w:tc>
          <w:tcPr>
            <w:tcW w:w="1416" w:type="dxa"/>
            <w:vAlign w:val="center"/>
          </w:tcPr>
          <w:p w:rsidR="00B11BF9" w:rsidRPr="00B759CB" w:rsidRDefault="00BE631D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584" w:type="dxa"/>
            <w:vAlign w:val="center"/>
          </w:tcPr>
          <w:p w:rsidR="00B11BF9" w:rsidRPr="00B759CB" w:rsidRDefault="00BE631D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0.000</w:t>
            </w:r>
          </w:p>
        </w:tc>
      </w:tr>
      <w:tr w:rsidR="00B11BF9" w:rsidRPr="00247A05" w:rsidTr="00B11BF9">
        <w:tc>
          <w:tcPr>
            <w:tcW w:w="1357" w:type="dxa"/>
            <w:vAlign w:val="center"/>
          </w:tcPr>
          <w:p w:rsidR="00B11BF9" w:rsidRPr="00596A3D" w:rsidRDefault="00B11BF9" w:rsidP="000860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1777" w:type="dxa"/>
          </w:tcPr>
          <w:p w:rsidR="00B11BF9" w:rsidRPr="00596A3D" w:rsidRDefault="00B11BF9" w:rsidP="0008600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ЦЕНТАР ЗА ОБРАЗОВАЊЕ И РАЗВОЈ МИОНИЦА</w:t>
            </w:r>
          </w:p>
        </w:tc>
        <w:tc>
          <w:tcPr>
            <w:tcW w:w="1431" w:type="dxa"/>
            <w:vAlign w:val="center"/>
          </w:tcPr>
          <w:p w:rsidR="00B11BF9" w:rsidRPr="00F77909" w:rsidRDefault="00747542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  <w:tc>
          <w:tcPr>
            <w:tcW w:w="1416" w:type="dxa"/>
            <w:vAlign w:val="center"/>
          </w:tcPr>
          <w:p w:rsidR="00B11BF9" w:rsidRPr="00F77909" w:rsidRDefault="00747542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631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BE63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584" w:type="dxa"/>
            <w:vAlign w:val="center"/>
          </w:tcPr>
          <w:p w:rsidR="00B11BF9" w:rsidRPr="00F77909" w:rsidRDefault="004E561F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631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</w:tr>
      <w:tr w:rsidR="00B11BF9" w:rsidRPr="00247A05" w:rsidTr="00B11BF9">
        <w:tc>
          <w:tcPr>
            <w:tcW w:w="1357" w:type="dxa"/>
            <w:vAlign w:val="center"/>
          </w:tcPr>
          <w:p w:rsidR="00B11BF9" w:rsidRPr="00596A3D" w:rsidRDefault="00B11BF9" w:rsidP="000860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777" w:type="dxa"/>
          </w:tcPr>
          <w:p w:rsidR="00B11BF9" w:rsidRPr="00596A3D" w:rsidRDefault="00B11BF9" w:rsidP="0008600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УСТАНОВА ЗА ФИЗИЧКУ КУЛТУРУ</w:t>
            </w:r>
          </w:p>
        </w:tc>
        <w:tc>
          <w:tcPr>
            <w:tcW w:w="1431" w:type="dxa"/>
            <w:vAlign w:val="center"/>
          </w:tcPr>
          <w:p w:rsidR="00B11BF9" w:rsidRPr="00F77909" w:rsidRDefault="00B11BF9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6.200.000</w:t>
            </w:r>
          </w:p>
        </w:tc>
        <w:tc>
          <w:tcPr>
            <w:tcW w:w="1416" w:type="dxa"/>
            <w:vAlign w:val="center"/>
          </w:tcPr>
          <w:p w:rsidR="00B11BF9" w:rsidRPr="00F77909" w:rsidRDefault="00B11BF9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6.600.000</w:t>
            </w:r>
          </w:p>
        </w:tc>
        <w:tc>
          <w:tcPr>
            <w:tcW w:w="1584" w:type="dxa"/>
            <w:vAlign w:val="center"/>
          </w:tcPr>
          <w:p w:rsidR="00B11BF9" w:rsidRPr="00F77909" w:rsidRDefault="00BE631D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</w:tr>
      <w:tr w:rsidR="00B11BF9" w:rsidRPr="00247A05" w:rsidTr="00B11BF9">
        <w:tc>
          <w:tcPr>
            <w:tcW w:w="1357" w:type="dxa"/>
            <w:vAlign w:val="center"/>
          </w:tcPr>
          <w:p w:rsidR="00B11BF9" w:rsidRPr="00596A3D" w:rsidRDefault="00B11BF9" w:rsidP="000860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777" w:type="dxa"/>
          </w:tcPr>
          <w:p w:rsidR="00B11BF9" w:rsidRDefault="00B11BF9" w:rsidP="0008600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ПРЕДШКОЛСКА УСТАНОВА НЕВЕН</w:t>
            </w:r>
          </w:p>
        </w:tc>
        <w:tc>
          <w:tcPr>
            <w:tcW w:w="1431" w:type="dxa"/>
            <w:vAlign w:val="center"/>
          </w:tcPr>
          <w:p w:rsidR="00B11BF9" w:rsidRPr="00F77909" w:rsidRDefault="004E561F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.000.000</w:t>
            </w:r>
          </w:p>
        </w:tc>
        <w:tc>
          <w:tcPr>
            <w:tcW w:w="1416" w:type="dxa"/>
            <w:vAlign w:val="center"/>
          </w:tcPr>
          <w:p w:rsidR="00B11BF9" w:rsidRPr="0065605A" w:rsidRDefault="004E561F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.072.000</w:t>
            </w:r>
          </w:p>
        </w:tc>
        <w:tc>
          <w:tcPr>
            <w:tcW w:w="1584" w:type="dxa"/>
            <w:vAlign w:val="center"/>
          </w:tcPr>
          <w:p w:rsidR="00B11BF9" w:rsidRPr="0065605A" w:rsidRDefault="004E561F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.000</w:t>
            </w:r>
          </w:p>
        </w:tc>
      </w:tr>
      <w:tr w:rsidR="00B11BF9" w:rsidRPr="00247A05" w:rsidTr="00B11BF9">
        <w:tc>
          <w:tcPr>
            <w:tcW w:w="1357" w:type="dxa"/>
            <w:vAlign w:val="center"/>
          </w:tcPr>
          <w:p w:rsidR="00B11BF9" w:rsidRDefault="00B11BF9" w:rsidP="000860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777" w:type="dxa"/>
          </w:tcPr>
          <w:p w:rsidR="00B11BF9" w:rsidRDefault="00B11BF9" w:rsidP="00086000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ТУРИСТИЧКА ОРГАНИЗАЦИЈА МИОНИЦА</w:t>
            </w:r>
          </w:p>
        </w:tc>
        <w:tc>
          <w:tcPr>
            <w:tcW w:w="1431" w:type="dxa"/>
            <w:vAlign w:val="center"/>
          </w:tcPr>
          <w:p w:rsidR="00B11BF9" w:rsidRPr="00D2564A" w:rsidRDefault="004E561F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  <w:tc>
          <w:tcPr>
            <w:tcW w:w="1416" w:type="dxa"/>
            <w:vAlign w:val="center"/>
          </w:tcPr>
          <w:p w:rsidR="00B11BF9" w:rsidRPr="00D2564A" w:rsidRDefault="004E561F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  <w:tc>
          <w:tcPr>
            <w:tcW w:w="1584" w:type="dxa"/>
            <w:vAlign w:val="center"/>
          </w:tcPr>
          <w:p w:rsidR="00B11BF9" w:rsidRPr="00D2564A" w:rsidRDefault="004E561F" w:rsidP="00086000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11BF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00.000</w:t>
            </w:r>
          </w:p>
        </w:tc>
      </w:tr>
      <w:tr w:rsidR="00B11BF9" w:rsidRPr="005C3B95" w:rsidTr="00B11BF9">
        <w:tc>
          <w:tcPr>
            <w:tcW w:w="3134" w:type="dxa"/>
            <w:gridSpan w:val="2"/>
          </w:tcPr>
          <w:p w:rsidR="00B11BF9" w:rsidRPr="005C3B95" w:rsidRDefault="00B11BF9" w:rsidP="000860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C3B9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431" w:type="dxa"/>
            <w:vAlign w:val="center"/>
          </w:tcPr>
          <w:p w:rsidR="00B11BF9" w:rsidRPr="009948D5" w:rsidRDefault="009948D5" w:rsidP="000860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500.000</w:t>
            </w:r>
            <w:r w:rsidR="00AA2F49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  <w:tc>
          <w:tcPr>
            <w:tcW w:w="1416" w:type="dxa"/>
            <w:vAlign w:val="center"/>
          </w:tcPr>
          <w:p w:rsidR="00B11BF9" w:rsidRPr="00AA2F49" w:rsidRDefault="00AA2F49" w:rsidP="000860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531.000.000</w:t>
            </w:r>
          </w:p>
        </w:tc>
        <w:tc>
          <w:tcPr>
            <w:tcW w:w="1584" w:type="dxa"/>
            <w:vAlign w:val="center"/>
          </w:tcPr>
          <w:p w:rsidR="00B11BF9" w:rsidRPr="00AA2F49" w:rsidRDefault="00AA2F49" w:rsidP="000860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535.000.000</w:t>
            </w:r>
          </w:p>
        </w:tc>
      </w:tr>
    </w:tbl>
    <w:p w:rsidR="00596A3D" w:rsidRPr="005C3B95" w:rsidRDefault="00596A3D" w:rsidP="00A162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596A3D" w:rsidRDefault="00596A3D" w:rsidP="00A162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596A3D" w:rsidRDefault="00596A3D" w:rsidP="00A162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C93FB0" w:rsidRPr="000B4A8D" w:rsidRDefault="003A2FAA" w:rsidP="003A2F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C93FB0" w:rsidRPr="00C93FB0">
        <w:rPr>
          <w:rFonts w:ascii="Times New Roman" w:hAnsi="Times New Roman" w:cs="Times New Roman"/>
          <w:b/>
          <w:sz w:val="24"/>
          <w:szCs w:val="24"/>
          <w:lang w:val="sr-Cyrl-CS"/>
        </w:rPr>
        <w:t>4)</w:t>
      </w:r>
      <w:r w:rsidR="00C93F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67A3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Обим средстава који може да садржи предлог финансијског плана за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296D42">
        <w:rPr>
          <w:rFonts w:ascii="Times New Roman" w:hAnsi="Times New Roman" w:cs="Times New Roman"/>
          <w:b/>
          <w:sz w:val="24"/>
          <w:szCs w:val="24"/>
          <w:lang w:val="sr-Cyrl-CS"/>
        </w:rPr>
        <w:t>2019.годину</w:t>
      </w:r>
      <w:r w:rsidR="000B4A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 пројекцијом за 2020. </w:t>
      </w:r>
      <w:r w:rsidR="000B4A8D">
        <w:rPr>
          <w:rFonts w:ascii="Times New Roman" w:hAnsi="Times New Roman" w:cs="Times New Roman"/>
          <w:b/>
          <w:sz w:val="24"/>
          <w:szCs w:val="24"/>
        </w:rPr>
        <w:t>годину</w:t>
      </w:r>
    </w:p>
    <w:p w:rsidR="00086000" w:rsidRDefault="00086000" w:rsidP="00A162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6000" w:rsidRDefault="00086000" w:rsidP="00A162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6000">
        <w:rPr>
          <w:rFonts w:ascii="Times New Roman" w:hAnsi="Times New Roman" w:cs="Times New Roman"/>
          <w:sz w:val="24"/>
          <w:szCs w:val="24"/>
          <w:lang w:val="sr-Cyrl-CS"/>
        </w:rPr>
        <w:t>Полазна ос</w:t>
      </w:r>
      <w:r w:rsidR="00296D42">
        <w:rPr>
          <w:rFonts w:ascii="Times New Roman" w:hAnsi="Times New Roman" w:cs="Times New Roman"/>
          <w:sz w:val="24"/>
          <w:szCs w:val="24"/>
          <w:lang w:val="sr-Cyrl-CS"/>
        </w:rPr>
        <w:t>нова за планирање буџета за 2019</w:t>
      </w:r>
      <w:r w:rsidRPr="00086000">
        <w:rPr>
          <w:rFonts w:ascii="Times New Roman" w:hAnsi="Times New Roman" w:cs="Times New Roman"/>
          <w:sz w:val="24"/>
          <w:szCs w:val="24"/>
          <w:lang w:val="sr-Cyrl-CS"/>
        </w:rPr>
        <w:t>.годину су остварени при</w:t>
      </w:r>
      <w:r w:rsidR="007547E0">
        <w:rPr>
          <w:rFonts w:ascii="Times New Roman" w:hAnsi="Times New Roman" w:cs="Times New Roman"/>
          <w:sz w:val="24"/>
          <w:szCs w:val="24"/>
          <w:lang w:val="sr-Cyrl-CS"/>
        </w:rPr>
        <w:t>ходи и примања као и и</w:t>
      </w:r>
      <w:r w:rsidRPr="00086000">
        <w:rPr>
          <w:rFonts w:ascii="Times New Roman" w:hAnsi="Times New Roman" w:cs="Times New Roman"/>
          <w:sz w:val="24"/>
          <w:szCs w:val="24"/>
          <w:lang w:val="sr-Cyrl-CS"/>
        </w:rPr>
        <w:t>звршен</w:t>
      </w:r>
      <w:r w:rsidR="00296D42">
        <w:rPr>
          <w:rFonts w:ascii="Times New Roman" w:hAnsi="Times New Roman" w:cs="Times New Roman"/>
          <w:sz w:val="24"/>
          <w:szCs w:val="24"/>
          <w:lang w:val="sr-Cyrl-CS"/>
        </w:rPr>
        <w:t>и расходи и издаци у првих седам месеци 2018</w:t>
      </w:r>
      <w:r w:rsidRPr="00086000">
        <w:rPr>
          <w:rFonts w:ascii="Times New Roman" w:hAnsi="Times New Roman" w:cs="Times New Roman"/>
          <w:sz w:val="24"/>
          <w:szCs w:val="24"/>
          <w:lang w:val="sr-Cyrl-CS"/>
        </w:rPr>
        <w:t>.године,као и процена остварењ</w:t>
      </w:r>
      <w:r w:rsidR="00296D42">
        <w:rPr>
          <w:rFonts w:ascii="Times New Roman" w:hAnsi="Times New Roman" w:cs="Times New Roman"/>
          <w:sz w:val="24"/>
          <w:szCs w:val="24"/>
          <w:lang w:val="sr-Cyrl-CS"/>
        </w:rPr>
        <w:t xml:space="preserve">а и извршења истих до краја </w:t>
      </w:r>
      <w:r w:rsidRPr="00086000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296D4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86000" w:rsidRDefault="00086000" w:rsidP="00A162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86000">
        <w:rPr>
          <w:rFonts w:ascii="Times New Roman" w:hAnsi="Times New Roman" w:cs="Times New Roman"/>
          <w:b/>
          <w:sz w:val="24"/>
          <w:szCs w:val="24"/>
          <w:lang w:val="sr-Cyrl-CS"/>
        </w:rPr>
        <w:t>Оби</w:t>
      </w:r>
      <w:r w:rsidR="00FE3A35">
        <w:rPr>
          <w:rFonts w:ascii="Times New Roman" w:hAnsi="Times New Roman" w:cs="Times New Roman"/>
          <w:b/>
          <w:sz w:val="24"/>
          <w:szCs w:val="24"/>
          <w:lang w:val="sr-Cyrl-CS"/>
        </w:rPr>
        <w:t>м финансијских средстава за 2019</w:t>
      </w:r>
      <w:r w:rsidRPr="00086000">
        <w:rPr>
          <w:rFonts w:ascii="Times New Roman" w:hAnsi="Times New Roman" w:cs="Times New Roman"/>
          <w:b/>
          <w:sz w:val="24"/>
          <w:szCs w:val="24"/>
          <w:lang w:val="sr-Cyrl-CS"/>
        </w:rPr>
        <w:t>.годину буџетски корисници мо</w:t>
      </w:r>
      <w:r w:rsidR="00FE3A35">
        <w:rPr>
          <w:rFonts w:ascii="Times New Roman" w:hAnsi="Times New Roman" w:cs="Times New Roman"/>
          <w:b/>
          <w:sz w:val="24"/>
          <w:szCs w:val="24"/>
          <w:lang w:val="sr-Cyrl-CS"/>
        </w:rPr>
        <w:t>гу планирати са повећањем за 6,35</w:t>
      </w:r>
      <w:r w:rsidRPr="00086000">
        <w:rPr>
          <w:rFonts w:ascii="Times New Roman" w:hAnsi="Times New Roman" w:cs="Times New Roman"/>
          <w:b/>
          <w:sz w:val="24"/>
          <w:szCs w:val="24"/>
          <w:lang w:val="sr-Cyrl-CS"/>
        </w:rPr>
        <w:t>% у односу на утвр</w:t>
      </w:r>
      <w:r w:rsidR="007547E0">
        <w:rPr>
          <w:rFonts w:ascii="Times New Roman" w:hAnsi="Times New Roman" w:cs="Times New Roman"/>
          <w:b/>
          <w:sz w:val="24"/>
          <w:szCs w:val="24"/>
          <w:lang w:val="sr-Cyrl-CS"/>
        </w:rPr>
        <w:t>ђену полазну основу</w:t>
      </w:r>
      <w:r w:rsidRPr="0008600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547E0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7547E0" w:rsidRPr="007547E0" w:rsidRDefault="007547E0" w:rsidP="00A162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47E0">
        <w:rPr>
          <w:rFonts w:ascii="Times New Roman" w:hAnsi="Times New Roman" w:cs="Times New Roman"/>
          <w:sz w:val="24"/>
          <w:szCs w:val="24"/>
          <w:lang w:val="sr-Cyrl-CS"/>
        </w:rPr>
        <w:t>Буџетски корисници општине Мионица су у обвези да при изради предлога финансијског плана за 2019.годину планирају расходе и издатке до нивоа утврђеним овим Упутством ,водећи рачуна при томе о донетим одлукама,уговореним обавезама.</w:t>
      </w:r>
    </w:p>
    <w:p w:rsidR="00086000" w:rsidRDefault="00086000" w:rsidP="00A162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A1EA0" w:rsidRPr="00AA1EA0" w:rsidRDefault="00AA1EA0" w:rsidP="00AA1EA0">
      <w:pPr>
        <w:autoSpaceDE w:val="0"/>
        <w:autoSpaceDN w:val="0"/>
        <w:adjustRightInd w:val="0"/>
        <w:ind w:left="56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A1EA0" w:rsidRPr="00AA1EA0" w:rsidRDefault="00AA1EA0" w:rsidP="00AA1EA0">
      <w:pPr>
        <w:autoSpaceDE w:val="0"/>
        <w:autoSpaceDN w:val="0"/>
        <w:adjustRightInd w:val="0"/>
        <w:ind w:left="56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A1EA0" w:rsidRDefault="00AA1EA0" w:rsidP="00AA1EA0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A1EA0" w:rsidRDefault="00AA1EA0" w:rsidP="00AA1EA0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A1EA0" w:rsidRDefault="00AA1EA0" w:rsidP="00AA1EA0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6000" w:rsidRDefault="00086000" w:rsidP="00267A34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67A3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Смернице за припрему сред</w:t>
      </w:r>
      <w:r w:rsidR="00267A34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Pr="00267A34">
        <w:rPr>
          <w:rFonts w:ascii="Times New Roman" w:hAnsi="Times New Roman" w:cs="Times New Roman"/>
          <w:b/>
          <w:sz w:val="24"/>
          <w:szCs w:val="24"/>
          <w:lang w:val="sr-Cyrl-CS"/>
        </w:rPr>
        <w:t>орочних планова  директних и индиректних корисника срдстава буџета општине Мионица</w:t>
      </w:r>
      <w:r w:rsidR="001719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2019</w:t>
      </w:r>
      <w:r w:rsidR="00267A34">
        <w:rPr>
          <w:rFonts w:ascii="Times New Roman" w:hAnsi="Times New Roman" w:cs="Times New Roman"/>
          <w:b/>
          <w:sz w:val="24"/>
          <w:szCs w:val="24"/>
          <w:lang w:val="sr-Cyrl-CS"/>
        </w:rPr>
        <w:t>.годину</w:t>
      </w:r>
    </w:p>
    <w:p w:rsidR="00216BA0" w:rsidRDefault="00216BA0" w:rsidP="009A370D">
      <w:pPr>
        <w:pStyle w:val="ListParagraph"/>
        <w:autoSpaceDE w:val="0"/>
        <w:autoSpaceDN w:val="0"/>
        <w:adjustRightInd w:val="0"/>
        <w:ind w:left="92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16BA0" w:rsidRDefault="008B200B" w:rsidP="00216B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216BA0">
        <w:rPr>
          <w:rFonts w:ascii="Times New Roman" w:hAnsi="Times New Roman" w:cs="Times New Roman"/>
          <w:b/>
          <w:sz w:val="24"/>
          <w:szCs w:val="24"/>
          <w:lang w:val="sr-Cyrl-CS"/>
        </w:rPr>
        <w:t>Група конта 41-Расходи за запослене</w:t>
      </w:r>
    </w:p>
    <w:p w:rsidR="008B200B" w:rsidRDefault="008B200B" w:rsidP="00254AB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B200B" w:rsidRPr="00555D54" w:rsidRDefault="00254AB9" w:rsidP="009A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2D2E49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Народна скупштина је донела</w:t>
      </w:r>
      <w:r w:rsidR="002D2E4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B200B">
        <w:rPr>
          <w:rFonts w:ascii="Times New Roman" w:hAnsi="Times New Roman" w:cs="Times New Roman"/>
          <w:sz w:val="24"/>
          <w:szCs w:val="24"/>
        </w:rPr>
        <w:t xml:space="preserve"> о привременом уређивању</w:t>
      </w:r>
      <w:r w:rsidR="00555D54">
        <w:rPr>
          <w:rFonts w:ascii="Times New Roman" w:hAnsi="Times New Roman" w:cs="Times New Roman"/>
          <w:sz w:val="24"/>
          <w:szCs w:val="24"/>
        </w:rPr>
        <w:t xml:space="preserve"> </w:t>
      </w:r>
      <w:r w:rsidR="008B200B">
        <w:rPr>
          <w:rFonts w:ascii="Times New Roman" w:hAnsi="Times New Roman" w:cs="Times New Roman"/>
          <w:sz w:val="24"/>
          <w:szCs w:val="24"/>
        </w:rPr>
        <w:t>основица за обрачун и исплату плата, односно зарада и других сталних примања код</w:t>
      </w:r>
      <w:r w:rsidR="00555D54">
        <w:rPr>
          <w:rFonts w:ascii="Times New Roman" w:hAnsi="Times New Roman" w:cs="Times New Roman"/>
          <w:sz w:val="24"/>
          <w:szCs w:val="24"/>
        </w:rPr>
        <w:t xml:space="preserve"> </w:t>
      </w:r>
      <w:r w:rsidR="002D2E49">
        <w:rPr>
          <w:rFonts w:ascii="Times New Roman" w:hAnsi="Times New Roman" w:cs="Times New Roman"/>
          <w:sz w:val="24"/>
          <w:szCs w:val="24"/>
        </w:rPr>
        <w:t xml:space="preserve">корисника јавних средстава </w:t>
      </w:r>
      <w:r w:rsidR="008B200B">
        <w:rPr>
          <w:rFonts w:ascii="Times New Roman" w:hAnsi="Times New Roman" w:cs="Times New Roman"/>
          <w:sz w:val="24"/>
          <w:szCs w:val="24"/>
        </w:rPr>
        <w:t>, који је објављен у „Службеном</w:t>
      </w:r>
      <w:r w:rsidR="002D2E49">
        <w:rPr>
          <w:rFonts w:ascii="Times New Roman" w:hAnsi="Times New Roman" w:cs="Times New Roman"/>
          <w:sz w:val="24"/>
          <w:szCs w:val="24"/>
        </w:rPr>
        <w:t xml:space="preserve"> </w:t>
      </w:r>
      <w:r w:rsidR="008B200B" w:rsidRPr="00254AB9">
        <w:rPr>
          <w:rFonts w:ascii="Times New Roman" w:hAnsi="Times New Roman" w:cs="Times New Roman"/>
          <w:sz w:val="24"/>
          <w:szCs w:val="24"/>
        </w:rPr>
        <w:t>гласнику РС", број 116/14 од 27. октобра 2014. године.</w:t>
      </w:r>
      <w:r w:rsidR="002D2E49">
        <w:rPr>
          <w:rFonts w:ascii="Times New Roman" w:hAnsi="Times New Roman" w:cs="Times New Roman"/>
          <w:sz w:val="24"/>
          <w:szCs w:val="24"/>
        </w:rPr>
        <w:t>У складу са чланом 5.став 1.Закона ,основица за обрачун и исплату плата код корисника јавних средстава,утврђена законом,другим прописом или другим општим или поједначним актом ,који је у примени на дан доношења овог закона ,умањена је за 10 %.</w:t>
      </w:r>
    </w:p>
    <w:p w:rsidR="002D2E49" w:rsidRDefault="002D2E49" w:rsidP="009A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Ништаве  су одредбе општег или појединачног акта(осим појединачног акта којим се плата повећава на основу напредовања) којима се повећавају основице,коефицијенти и други елементи,односно </w:t>
      </w:r>
      <w:r w:rsidR="00E514BE">
        <w:rPr>
          <w:rFonts w:ascii="Times New Roman" w:hAnsi="Times New Roman" w:cs="Times New Roman"/>
          <w:sz w:val="24"/>
          <w:szCs w:val="24"/>
        </w:rPr>
        <w:t xml:space="preserve"> уводе нови елементи ,на основу којих се повећава износ  плата и другог сталног примања код субјекта из члана 2.овог </w:t>
      </w:r>
      <w:r w:rsidR="00555D54">
        <w:rPr>
          <w:rFonts w:ascii="Times New Roman" w:hAnsi="Times New Roman" w:cs="Times New Roman"/>
          <w:sz w:val="24"/>
          <w:szCs w:val="24"/>
        </w:rPr>
        <w:t>закона,донет за време примене овог закона(члан 4.Закона).</w:t>
      </w:r>
    </w:p>
    <w:p w:rsidR="00555D54" w:rsidRPr="00BE0662" w:rsidRDefault="00555D54" w:rsidP="009A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Масу средстава за плате</w:t>
      </w:r>
      <w:r w:rsidR="00BE0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(економске класификације</w:t>
      </w:r>
      <w:r w:rsidR="00BE0662">
        <w:rPr>
          <w:rFonts w:ascii="Times New Roman" w:hAnsi="Times New Roman" w:cs="Times New Roman"/>
          <w:sz w:val="24"/>
          <w:szCs w:val="24"/>
        </w:rPr>
        <w:t xml:space="preserve"> 411 и 412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BE0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планирати на нивоу масе за 2018.годину.</w:t>
      </w:r>
      <w:r w:rsidR="00A1082E" w:rsidRPr="00A108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082E" w:rsidRPr="00A40843">
        <w:rPr>
          <w:rFonts w:ascii="Times New Roman" w:hAnsi="Times New Roman" w:cs="Times New Roman"/>
          <w:sz w:val="24"/>
          <w:szCs w:val="24"/>
          <w:lang w:val="sr-Cyrl-CS"/>
        </w:rPr>
        <w:t>Средства за плате се  планирају на бази постојећег,а не стематизованог броја запослено</w:t>
      </w:r>
      <w:r w:rsidR="00A1082E" w:rsidRPr="00A1082E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A1082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BE0662">
        <w:rPr>
          <w:rFonts w:ascii="Times New Roman" w:hAnsi="Times New Roman" w:cs="Times New Roman"/>
          <w:b/>
          <w:sz w:val="24"/>
          <w:szCs w:val="24"/>
        </w:rPr>
        <w:t>Уколико у Упуству Министарства финансија буду предвиђене промене нивоа зарада у 2019.години ,надлежни орган за финансије ,благовремено ће обавестити све буџетске кориснике о потребном усклађивању.</w:t>
      </w:r>
    </w:p>
    <w:p w:rsidR="00555D54" w:rsidRDefault="00555D54" w:rsidP="009A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оквиру осталих расхода са групе конта 41,као и у претходним годинама ,не могу се планирати исплате награда и бонуса предвуђених посебним и појединачним колективним уговором ,осим јубиларних награда   за запослене</w:t>
      </w:r>
      <w:r w:rsidR="000665CB">
        <w:rPr>
          <w:rFonts w:ascii="Times New Roman" w:hAnsi="Times New Roman" w:cs="Times New Roman"/>
          <w:sz w:val="24"/>
          <w:szCs w:val="24"/>
        </w:rPr>
        <w:t xml:space="preserve"> који ће то право стећи у 2019.години.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5CB" w:rsidRPr="000665CB" w:rsidRDefault="000665CB" w:rsidP="009A37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Износ средстава за јубиларне награде се м</w:t>
      </w:r>
      <w:r w:rsidR="00A4084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ра прецизно </w:t>
      </w:r>
      <w:r w:rsidR="00A408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одговорно планирати</w:t>
      </w:r>
      <w:r w:rsidR="00A40843">
        <w:rPr>
          <w:rFonts w:ascii="Times New Roman" w:hAnsi="Times New Roman" w:cs="Times New Roman"/>
          <w:sz w:val="24"/>
          <w:szCs w:val="24"/>
        </w:rPr>
        <w:t xml:space="preserve"> код свих буџетских корисника.Потребно је да сваки буџетски корисник,у образложењу наведе списак запослених који ће у 2019.години остварити право на јубиларну награду као и потребне износе у складу са важећим колективним уговором.</w:t>
      </w:r>
    </w:p>
    <w:p w:rsidR="00485D9E" w:rsidRDefault="00485D9E" w:rsidP="00310343">
      <w:pPr>
        <w:ind w:firstLine="708"/>
        <w:jc w:val="both"/>
        <w:rPr>
          <w:rStyle w:val="fontstyle01"/>
          <w:lang w:val="sr-Cyrl-CS"/>
        </w:rPr>
      </w:pPr>
    </w:p>
    <w:p w:rsidR="00485D9E" w:rsidRPr="00B03F76" w:rsidRDefault="00D567EE" w:rsidP="00310343">
      <w:pPr>
        <w:ind w:firstLine="708"/>
        <w:jc w:val="both"/>
        <w:rPr>
          <w:rStyle w:val="fontstyle01"/>
          <w:b/>
          <w:lang w:val="sr-Cyrl-CS"/>
        </w:rPr>
      </w:pPr>
      <w:r>
        <w:rPr>
          <w:rStyle w:val="fontstyle01"/>
          <w:b/>
        </w:rPr>
        <w:t xml:space="preserve">    </w:t>
      </w:r>
      <w:r w:rsidR="00485D9E" w:rsidRPr="00B03F76">
        <w:rPr>
          <w:rStyle w:val="fontstyle01"/>
          <w:b/>
          <w:lang w:val="sr-Cyrl-CS"/>
        </w:rPr>
        <w:t>Група конта 42-Коришћење услуга и роба</w:t>
      </w:r>
    </w:p>
    <w:p w:rsidR="00485D9E" w:rsidRPr="00B03F76" w:rsidRDefault="00485D9E" w:rsidP="00310343">
      <w:pPr>
        <w:ind w:firstLine="708"/>
        <w:jc w:val="both"/>
        <w:rPr>
          <w:rStyle w:val="fontstyle01"/>
          <w:b/>
          <w:lang w:val="sr-Cyrl-CS"/>
        </w:rPr>
      </w:pPr>
    </w:p>
    <w:p w:rsidR="00FB48DF" w:rsidRPr="00B03F76" w:rsidRDefault="00485D9E" w:rsidP="00A162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У оквиру групе конта која се односе на куповину роба и услуга, потребно је реално планирати </w:t>
      </w:r>
      <w:r w:rsidR="00AB0F92">
        <w:rPr>
          <w:rFonts w:ascii="Times New Roman" w:hAnsi="Times New Roman" w:cs="Times New Roman"/>
          <w:color w:val="000000"/>
          <w:sz w:val="24"/>
          <w:szCs w:val="24"/>
        </w:rPr>
        <w:t>средства за ове намене у 2019</w:t>
      </w:r>
      <w:r w:rsidR="00216BA0"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16BA0" w:rsidRPr="00B03F7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</w:t>
      </w:r>
      <w:r w:rsidRPr="00B03F76">
        <w:rPr>
          <w:rFonts w:ascii="Times New Roman" w:hAnsi="Times New Roman" w:cs="Times New Roman"/>
          <w:color w:val="000000"/>
          <w:sz w:val="24"/>
          <w:szCs w:val="24"/>
        </w:rPr>
        <w:t>одини</w:t>
      </w:r>
      <w:r w:rsidRPr="00B03F7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,водећи рачуна да се не угрози извршавање сталних трошкова (421-Стални трошкови).</w:t>
      </w:r>
    </w:p>
    <w:p w:rsidR="00485D9E" w:rsidRPr="00B03F76" w:rsidRDefault="00485D9E" w:rsidP="00485D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F76">
        <w:rPr>
          <w:rFonts w:ascii="Times New Roman" w:hAnsi="Times New Roman" w:cs="Times New Roman"/>
          <w:color w:val="000000"/>
          <w:sz w:val="24"/>
          <w:szCs w:val="24"/>
        </w:rPr>
        <w:t>Поред тога, средства, пре свега на економској класификацији 423-Услуге по уговору треба планирати у складу са Законом о привременом уређивању основица за обрачун и исплату плата, односно зарада и других сталних примања код корисника јавних средстава, којим је уређено смањење других сталних примања.</w:t>
      </w:r>
    </w:p>
    <w:p w:rsidR="00485D9E" w:rsidRPr="00B03F76" w:rsidRDefault="00485D9E" w:rsidP="00485D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F76">
        <w:rPr>
          <w:rFonts w:ascii="Times New Roman" w:hAnsi="Times New Roman" w:cs="Times New Roman"/>
          <w:color w:val="000000"/>
          <w:sz w:val="24"/>
          <w:szCs w:val="24"/>
        </w:rPr>
        <w:t>Препорука је да буџетски корисници у буџетској процедури преиспитају и потребу смањења других накнада за рад, које нису обухваћене Законом (уговори о делу, привремено повремени послови и др), а све у циљу великих потреба фискалног прилагођавања.</w:t>
      </w:r>
    </w:p>
    <w:p w:rsidR="00485D9E" w:rsidRPr="00B03F76" w:rsidRDefault="00485D9E" w:rsidP="00485D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F76">
        <w:rPr>
          <w:rFonts w:ascii="Times New Roman" w:hAnsi="Times New Roman" w:cs="Times New Roman"/>
          <w:color w:val="000000"/>
          <w:sz w:val="24"/>
          <w:szCs w:val="24"/>
        </w:rPr>
        <w:t>Посебно је приликом планирања ове групе конта потребан крајње реалан приступ и са аспекта Закона о роковима измирења новчаних обавеза у комерцијалним трансакцијама.</w:t>
      </w:r>
    </w:p>
    <w:p w:rsidR="00485D9E" w:rsidRDefault="00485D9E" w:rsidP="00485D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03F76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планирана у оквиру ове групе конта мора да садрже и износе средстава за које је локални орган управе надлежан за финансије дао сагласност у складу са Уредбом о критеријумима за утврђивање природе расхода и условима и начину </w:t>
      </w:r>
      <w:r w:rsidRPr="00B03F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прибављања сагласности за закључивање одређених уговора који, због природе расхода, захтевају плаћање у више година.</w:t>
      </w:r>
    </w:p>
    <w:p w:rsidR="00667E29" w:rsidRDefault="00667E29" w:rsidP="00485D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67E29" w:rsidRDefault="00667E29" w:rsidP="00485D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667E29" w:rsidRPr="00667E29" w:rsidRDefault="00667E29" w:rsidP="00485D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00246B" w:rsidRDefault="00D567EE" w:rsidP="00D567E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0246B" w:rsidRPr="0000246B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Група конта 45-Субвенције и група конта 62-Набавка финансијске имовине</w:t>
      </w:r>
    </w:p>
    <w:p w:rsidR="0000246B" w:rsidRPr="0000246B" w:rsidRDefault="0000246B" w:rsidP="00485D9E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485D9E" w:rsidRPr="00B03F76" w:rsidRDefault="00485D9E" w:rsidP="00485D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F76">
        <w:rPr>
          <w:rFonts w:ascii="Times New Roman" w:hAnsi="Times New Roman" w:cs="Times New Roman"/>
          <w:color w:val="000000"/>
          <w:sz w:val="24"/>
          <w:szCs w:val="24"/>
        </w:rPr>
        <w:t>У оквиру субвенција и буџетских кредита неопходно је преиспитати све програме по основу којих се додељују субвенције и буџетски кредити, с обзиром на то да даље мере фискалне консолидације подразумевају рационално коришћење средстава субвенција и буџетских кредита.</w:t>
      </w:r>
    </w:p>
    <w:p w:rsidR="00485D9E" w:rsidRDefault="00485D9E" w:rsidP="00485D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03F76">
        <w:rPr>
          <w:rFonts w:ascii="Times New Roman" w:hAnsi="Times New Roman" w:cs="Times New Roman"/>
          <w:color w:val="000000"/>
          <w:sz w:val="24"/>
          <w:szCs w:val="24"/>
        </w:rPr>
        <w:t>Приликом планирања средстава за субвенције и њихових намена посебно треба имати у виду све прописе који се тичу контроле државне помоћи.</w:t>
      </w:r>
    </w:p>
    <w:p w:rsidR="009A370D" w:rsidRPr="009A370D" w:rsidRDefault="009A370D" w:rsidP="00485D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485D9E" w:rsidRPr="00B03F76" w:rsidRDefault="00485D9E" w:rsidP="00485D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F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Група конта 48 – Остали расходи</w:t>
      </w:r>
    </w:p>
    <w:p w:rsidR="00485D9E" w:rsidRPr="00B03F76" w:rsidRDefault="00485D9E" w:rsidP="00485D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F76">
        <w:rPr>
          <w:rFonts w:ascii="Times New Roman" w:hAnsi="Times New Roman" w:cs="Times New Roman"/>
          <w:color w:val="000000"/>
          <w:sz w:val="24"/>
          <w:szCs w:val="24"/>
        </w:rPr>
        <w:t>Остале расходе, такође треба планирати у складу са рестриктивном политиком која се спроводи у циљу одрживог нивоа дефицита. Приликом планирања наведених расхода, треба имати у виду да се услед недовољног износа средстава на економској класификацији 483 – Новчане казне и пенали по решењу судова, иста повећава смањењем осталих економских класификација, на којима је, због наведеног, неопходно прилагодити преузимање обавеза, како</w:t>
      </w:r>
      <w:r w:rsidR="002119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3F76">
        <w:rPr>
          <w:rFonts w:ascii="Times New Roman" w:hAnsi="Times New Roman" w:cs="Times New Roman"/>
          <w:color w:val="000000"/>
          <w:sz w:val="24"/>
          <w:szCs w:val="24"/>
        </w:rPr>
        <w:t>би се на тај начин спречило стварање доцњи.</w:t>
      </w:r>
    </w:p>
    <w:p w:rsidR="00485D9E" w:rsidRPr="00B03F76" w:rsidRDefault="00485D9E" w:rsidP="00485D9E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F76">
        <w:rPr>
          <w:rFonts w:ascii="Times New Roman" w:hAnsi="Times New Roman" w:cs="Times New Roman"/>
          <w:color w:val="000000"/>
          <w:sz w:val="24"/>
          <w:szCs w:val="24"/>
        </w:rPr>
        <w:t>У циљу транспарентнијег приказивања средстава намењених за финансирање редовног рада политичких субјеката, у складу са Законом о финансирању политичких активности потребно је, у опису апропријације економске класификације 481 – Дотације невладиним организацијама, посебно исказати средства за наведену намену.</w:t>
      </w:r>
    </w:p>
    <w:p w:rsidR="004B752F" w:rsidRPr="004B752F" w:rsidRDefault="004B752F" w:rsidP="00485D9E">
      <w:pPr>
        <w:ind w:firstLine="708"/>
        <w:jc w:val="both"/>
        <w:rPr>
          <w:rStyle w:val="fontstyle01"/>
          <w:lang w:val="sr-Cyrl-CS"/>
        </w:rPr>
      </w:pPr>
    </w:p>
    <w:p w:rsidR="00B2648A" w:rsidRPr="00647B2E" w:rsidRDefault="00B2648A" w:rsidP="00B2648A">
      <w:pPr>
        <w:ind w:firstLine="708"/>
        <w:jc w:val="both"/>
        <w:rPr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Смернице за исказивање издата</w:t>
      </w:r>
      <w:r w:rsidR="00211908">
        <w:rPr>
          <w:rFonts w:ascii="TimesNewRomanPS-BoldMT" w:hAnsi="TimesNewRomanPS-BoldMT"/>
          <w:b/>
          <w:bCs/>
          <w:color w:val="000000"/>
        </w:rPr>
        <w:t>ка за к</w:t>
      </w:r>
      <w:r w:rsidR="003B47F9">
        <w:rPr>
          <w:rFonts w:ascii="TimesNewRomanPS-BoldMT" w:hAnsi="TimesNewRomanPS-BoldMT"/>
          <w:b/>
          <w:bCs/>
          <w:color w:val="000000"/>
        </w:rPr>
        <w:t xml:space="preserve">апиталне пројекте </w:t>
      </w:r>
    </w:p>
    <w:p w:rsidR="004B752F" w:rsidRPr="004B752F" w:rsidRDefault="004B752F" w:rsidP="00B2648A">
      <w:pPr>
        <w:ind w:firstLine="708"/>
        <w:jc w:val="both"/>
        <w:rPr>
          <w:rFonts w:ascii="TimesNewRomanPS-BoldMT" w:hAnsi="TimesNewRomanPS-BoldMT"/>
          <w:b/>
          <w:bCs/>
          <w:color w:val="000000"/>
          <w:lang w:val="sr-Cyrl-CS"/>
        </w:rPr>
      </w:pPr>
    </w:p>
    <w:p w:rsidR="00B2648A" w:rsidRPr="00B2648A" w:rsidRDefault="004B752F" w:rsidP="00485D9E">
      <w:pPr>
        <w:ind w:firstLine="708"/>
        <w:jc w:val="both"/>
        <w:rPr>
          <w:rFonts w:ascii="TimesNewRomanPSMT" w:hAnsi="TimesNewRomanPSMT"/>
          <w:color w:val="000000"/>
          <w:sz w:val="24"/>
          <w:szCs w:val="24"/>
          <w:lang w:val="sr-Cyrl-CS"/>
        </w:rPr>
      </w:pPr>
      <w:r w:rsidRPr="00FC78C2">
        <w:rPr>
          <w:rFonts w:ascii="Times New Roman" w:hAnsi="Times New Roman" w:cs="Times New Roman"/>
          <w:b/>
          <w:sz w:val="24"/>
          <w:szCs w:val="24"/>
        </w:rPr>
        <w:t>Набавке административне, канцеларијске опреме, аутомобила и осталих</w:t>
      </w:r>
      <w:r w:rsidR="00793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8C2">
        <w:rPr>
          <w:rFonts w:ascii="Times New Roman" w:hAnsi="Times New Roman" w:cs="Times New Roman"/>
          <w:b/>
          <w:sz w:val="24"/>
          <w:szCs w:val="24"/>
        </w:rPr>
        <w:t>основних</w:t>
      </w:r>
      <w:r w:rsidR="00793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8C2">
        <w:rPr>
          <w:rFonts w:ascii="Times New Roman" w:hAnsi="Times New Roman" w:cs="Times New Roman"/>
          <w:b/>
          <w:sz w:val="24"/>
          <w:szCs w:val="24"/>
        </w:rPr>
        <w:t>средстава за редован рад потребно је планирати уз максималне уштеде, тако да се само врше</w:t>
      </w:r>
      <w:r w:rsidR="00793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78C2">
        <w:rPr>
          <w:rFonts w:ascii="Times New Roman" w:hAnsi="Times New Roman" w:cs="Times New Roman"/>
          <w:b/>
          <w:sz w:val="24"/>
          <w:szCs w:val="24"/>
        </w:rPr>
        <w:t>набавке средстава неопходних за рад.</w:t>
      </w:r>
    </w:p>
    <w:p w:rsidR="004B752F" w:rsidRPr="004B752F" w:rsidRDefault="00936BDF" w:rsidP="004B752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52F">
        <w:rPr>
          <w:rFonts w:ascii="TimesNewRomanPSMT" w:hAnsi="TimesNewRomanPSMT" w:cs="TimesNewRomanPSMT"/>
          <w:sz w:val="24"/>
          <w:szCs w:val="24"/>
        </w:rPr>
        <w:t xml:space="preserve">  </w:t>
      </w:r>
      <w:r w:rsidR="004B752F" w:rsidRPr="004B752F">
        <w:rPr>
          <w:rFonts w:ascii="Times New Roman" w:hAnsi="Times New Roman" w:cs="Times New Roman"/>
          <w:sz w:val="24"/>
          <w:szCs w:val="24"/>
        </w:rPr>
        <w:t>Важно је да корисници не исказују као капиталне издатке текуће поправке и</w:t>
      </w:r>
    </w:p>
    <w:p w:rsidR="004B752F" w:rsidRDefault="004B752F" w:rsidP="004B75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752F">
        <w:rPr>
          <w:rFonts w:ascii="Times New Roman" w:hAnsi="Times New Roman" w:cs="Times New Roman"/>
          <w:sz w:val="24"/>
          <w:szCs w:val="24"/>
        </w:rPr>
        <w:t>одржавање зграда, објеката и опреме, већ да расходе за те намене (за молерске, зидарске радове,поправке електронске и електричне опреме итд.) планирају на апропријацији економскекласификације 425 – Текуће поправке и одржавање, док средства за капиталне пројекте треба дапланирају на контима групе 51, 52 и 54</w:t>
      </w:r>
      <w:r w:rsidRPr="00FC78C2">
        <w:rPr>
          <w:rFonts w:ascii="Times New Roman" w:hAnsi="Times New Roman" w:cs="Times New Roman"/>
          <w:sz w:val="24"/>
          <w:szCs w:val="24"/>
        </w:rPr>
        <w:t>.</w:t>
      </w:r>
    </w:p>
    <w:p w:rsidR="00505F22" w:rsidRPr="00505F22" w:rsidRDefault="00505F22" w:rsidP="004B75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48DF" w:rsidRDefault="00505F22" w:rsidP="00505F2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505F22">
        <w:rPr>
          <w:rFonts w:ascii="Times New Roman" w:hAnsi="Times New Roman" w:cs="Times New Roman"/>
          <w:b/>
          <w:sz w:val="24"/>
          <w:szCs w:val="24"/>
          <w:lang w:val="sr-Cyrl-CS"/>
        </w:rPr>
        <w:t>Капитални пројекти и њихов значај</w:t>
      </w:r>
    </w:p>
    <w:p w:rsidR="00505F22" w:rsidRPr="00505F22" w:rsidRDefault="00505F22" w:rsidP="00505F2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B752F" w:rsidRPr="00FC78C2" w:rsidRDefault="00505F22" w:rsidP="00505F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4B752F" w:rsidRPr="00FC78C2">
        <w:rPr>
          <w:rFonts w:ascii="Times New Roman" w:hAnsi="Times New Roman" w:cs="Times New Roman"/>
          <w:sz w:val="24"/>
          <w:szCs w:val="24"/>
        </w:rPr>
        <w:t>Капитални пројекти су пројекти изградње и капиталног одржавања зграда и</w:t>
      </w:r>
    </w:p>
    <w:p w:rsidR="004B752F" w:rsidRDefault="004B752F" w:rsidP="004B75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C78C2">
        <w:rPr>
          <w:rFonts w:ascii="Times New Roman" w:hAnsi="Times New Roman" w:cs="Times New Roman"/>
          <w:sz w:val="24"/>
          <w:szCs w:val="24"/>
        </w:rPr>
        <w:t>грађевинских објеката инфраструктуре од интереса за локалну власт, укључујући</w:t>
      </w:r>
      <w:r w:rsidR="0079397B">
        <w:rPr>
          <w:rFonts w:ascii="Times New Roman" w:hAnsi="Times New Roman" w:cs="Times New Roman"/>
          <w:sz w:val="24"/>
          <w:szCs w:val="24"/>
        </w:rPr>
        <w:t xml:space="preserve"> </w:t>
      </w:r>
      <w:r w:rsidRPr="00FC78C2">
        <w:rPr>
          <w:rFonts w:ascii="Times New Roman" w:hAnsi="Times New Roman" w:cs="Times New Roman"/>
          <w:sz w:val="24"/>
          <w:szCs w:val="24"/>
        </w:rPr>
        <w:t>услуге</w:t>
      </w:r>
      <w:r w:rsidR="0079397B">
        <w:rPr>
          <w:rFonts w:ascii="Times New Roman" w:hAnsi="Times New Roman" w:cs="Times New Roman"/>
          <w:sz w:val="24"/>
          <w:szCs w:val="24"/>
        </w:rPr>
        <w:t xml:space="preserve"> </w:t>
      </w:r>
      <w:r w:rsidRPr="00FC78C2">
        <w:rPr>
          <w:rFonts w:ascii="Times New Roman" w:hAnsi="Times New Roman" w:cs="Times New Roman"/>
          <w:sz w:val="24"/>
          <w:szCs w:val="24"/>
        </w:rPr>
        <w:t>пројектног планирања које је саставни део пројекта, обезбеђивање земљишта за изградњу, као и</w:t>
      </w:r>
      <w:r w:rsidR="0079397B">
        <w:rPr>
          <w:rFonts w:ascii="Times New Roman" w:hAnsi="Times New Roman" w:cs="Times New Roman"/>
          <w:sz w:val="24"/>
          <w:szCs w:val="24"/>
        </w:rPr>
        <w:t xml:space="preserve"> </w:t>
      </w:r>
      <w:r w:rsidRPr="00FC78C2">
        <w:rPr>
          <w:rFonts w:ascii="Times New Roman" w:hAnsi="Times New Roman" w:cs="Times New Roman"/>
          <w:sz w:val="24"/>
          <w:szCs w:val="24"/>
        </w:rPr>
        <w:t>пројекти који подразумевају улагања у опрему, машине и другу нефинансијску имовину, а у</w:t>
      </w:r>
      <w:r w:rsidR="0079397B">
        <w:rPr>
          <w:rFonts w:ascii="Times New Roman" w:hAnsi="Times New Roman" w:cs="Times New Roman"/>
          <w:sz w:val="24"/>
          <w:szCs w:val="24"/>
        </w:rPr>
        <w:t xml:space="preserve"> </w:t>
      </w:r>
      <w:r w:rsidRPr="00FC78C2">
        <w:rPr>
          <w:rFonts w:ascii="Times New Roman" w:hAnsi="Times New Roman" w:cs="Times New Roman"/>
          <w:sz w:val="24"/>
          <w:szCs w:val="24"/>
        </w:rPr>
        <w:t>функцији су јавног интереса. Капиталним пројектима се увећава имовина локалне власти путем</w:t>
      </w:r>
      <w:r w:rsidR="003736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C78C2">
        <w:rPr>
          <w:rFonts w:ascii="Times New Roman" w:hAnsi="Times New Roman" w:cs="Times New Roman"/>
          <w:sz w:val="24"/>
          <w:szCs w:val="24"/>
        </w:rPr>
        <w:t>изградње и капиталног одржавања</w:t>
      </w:r>
      <w:r w:rsidR="003736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C78C2">
        <w:rPr>
          <w:rFonts w:ascii="Times New Roman" w:hAnsi="Times New Roman" w:cs="Times New Roman"/>
          <w:sz w:val="24"/>
          <w:szCs w:val="24"/>
        </w:rPr>
        <w:t>грађевинских објеката инфраструктуре и улагања у опрему,машине и другу</w:t>
      </w:r>
      <w:r w:rsidR="003736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C78C2">
        <w:rPr>
          <w:rFonts w:ascii="Times New Roman" w:hAnsi="Times New Roman" w:cs="Times New Roman"/>
          <w:sz w:val="24"/>
          <w:szCs w:val="24"/>
        </w:rPr>
        <w:t>нефинансијску имовину.</w:t>
      </w:r>
    </w:p>
    <w:p w:rsidR="004B752F" w:rsidRPr="004B752F" w:rsidRDefault="004B752F" w:rsidP="00A162A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6BDF" w:rsidRDefault="00936BDF" w:rsidP="0095336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24B1" w:rsidRPr="00E924B1" w:rsidRDefault="00E924B1" w:rsidP="0095336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924B1" w:rsidRPr="009D3616" w:rsidRDefault="00E924B1" w:rsidP="00E924B1">
      <w:pPr>
        <w:autoSpaceDE w:val="0"/>
        <w:autoSpaceDN w:val="0"/>
        <w:adjustRightInd w:val="0"/>
        <w:ind w:firstLine="708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1E772F" w:rsidRDefault="00D567EE" w:rsidP="00D567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</w:t>
      </w:r>
      <w:r w:rsidR="001E772F" w:rsidRPr="001E772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Планирање издатака капиталног пројекта</w:t>
      </w:r>
    </w:p>
    <w:p w:rsidR="00130DAD" w:rsidRDefault="00130DAD" w:rsidP="00E924B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0F42BB" w:rsidRDefault="000F42BB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Ради ефикаснијег планирања издатака капиталних пројеката корисници</w:t>
      </w:r>
    </w:p>
    <w:p w:rsidR="000F42BB" w:rsidRDefault="000F42BB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буџетских средстава дужни су да локалном органу надлежном за финансије доставе</w:t>
      </w:r>
    </w:p>
    <w:p w:rsidR="001E772F" w:rsidRPr="000F42BB" w:rsidRDefault="000F42BB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попуњене табеле дате у Прилогу број 2. и 2а. (Предлог капиталних пројеката). У наведеним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табелама, корисници су у обавези да искажу планиране издатке за капиталне пројекте по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годинама који се односе на изградњу и капитално одржавање, по контима на трећем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четвртом нивоу:</w:t>
      </w:r>
    </w:p>
    <w:p w:rsidR="001E772F" w:rsidRPr="00374601" w:rsidRDefault="000F42BB" w:rsidP="00B95B38">
      <w:pPr>
        <w:autoSpaceDE w:val="0"/>
        <w:autoSpaceDN w:val="0"/>
        <w:adjustRightInd w:val="0"/>
        <w:spacing w:after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1E772F" w:rsidRPr="00374601">
        <w:rPr>
          <w:rFonts w:ascii="Times New Roman" w:hAnsi="Times New Roman" w:cs="Times New Roman"/>
          <w:sz w:val="24"/>
          <w:szCs w:val="24"/>
        </w:rPr>
        <w:t xml:space="preserve">1) издатке за израду пројектно-техничке документације на конту 5114 (осим уколико је иста већ израђена); </w:t>
      </w:r>
    </w:p>
    <w:p w:rsidR="001E772F" w:rsidRPr="00374601" w:rsidRDefault="000F42BB" w:rsidP="00B95B38">
      <w:pPr>
        <w:autoSpaceDE w:val="0"/>
        <w:autoSpaceDN w:val="0"/>
        <w:adjustRightInd w:val="0"/>
        <w:spacing w:after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1E772F" w:rsidRPr="00374601">
        <w:rPr>
          <w:rFonts w:ascii="Times New Roman" w:hAnsi="Times New Roman" w:cs="Times New Roman"/>
          <w:sz w:val="24"/>
          <w:szCs w:val="24"/>
        </w:rPr>
        <w:t xml:space="preserve">2) издатке за експропријацију земљишта на конту 5411; </w:t>
      </w:r>
    </w:p>
    <w:p w:rsidR="001E772F" w:rsidRPr="00374601" w:rsidRDefault="000F42BB" w:rsidP="00B95B38">
      <w:pPr>
        <w:autoSpaceDE w:val="0"/>
        <w:autoSpaceDN w:val="0"/>
        <w:adjustRightInd w:val="0"/>
        <w:spacing w:after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1E772F" w:rsidRPr="00374601">
        <w:rPr>
          <w:rFonts w:ascii="Times New Roman" w:hAnsi="Times New Roman" w:cs="Times New Roman"/>
          <w:sz w:val="24"/>
          <w:szCs w:val="24"/>
        </w:rPr>
        <w:t xml:space="preserve">3) издатке за извођење радова на изградњи, односно извођење радова на капиталном одржавању на контима 5112 и 5113; </w:t>
      </w:r>
    </w:p>
    <w:p w:rsidR="001E772F" w:rsidRDefault="000F42BB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1E772F" w:rsidRPr="00374601">
        <w:rPr>
          <w:rFonts w:ascii="Times New Roman" w:hAnsi="Times New Roman" w:cs="Times New Roman"/>
          <w:sz w:val="24"/>
          <w:szCs w:val="24"/>
        </w:rPr>
        <w:t xml:space="preserve">4) издатке за ангажовање стручног надзора на конту 5114 (осим уколико исти нису планирани од стране инвеститора или на неки други начин). </w:t>
      </w:r>
    </w:p>
    <w:p w:rsidR="006F628E" w:rsidRDefault="000F42BB" w:rsidP="007939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</w:p>
    <w:p w:rsidR="006F628E" w:rsidRDefault="000F42BB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6F628E">
        <w:rPr>
          <w:rFonts w:ascii="Times New Roman" w:hAnsi="Times New Roman" w:cs="Times New Roman"/>
          <w:sz w:val="24"/>
          <w:szCs w:val="24"/>
        </w:rPr>
        <w:t>Директни корисници буџетских средстава пројекте рангирају по приоритетима</w:t>
      </w:r>
    </w:p>
    <w:p w:rsidR="006F628E" w:rsidRDefault="006F628E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свеобухватне процене потреба, који ће се утврдити на основу следећих</w:t>
      </w:r>
    </w:p>
    <w:p w:rsidR="006F628E" w:rsidRDefault="006F628E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критеријума: релевантности пројекта за остваривање стратешких циљева из надлежности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буџетских корисника, однос трошкова и користи пројекта (укључујући нето садашњу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вредност, интерну стопу рентабилности, период повраћаја улагања, коефицијент трошкова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користи и др), потенцијалних ризика за реализацију пројекта, ефекат пројекта на друштвени,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економски, регионални и еколошки одрживи развој, водећи рачуна да приоритет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финансирању имају већ започети пројекти.</w:t>
      </w:r>
    </w:p>
    <w:p w:rsidR="006F628E" w:rsidRDefault="006F628E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У циљу унапређења планирања капиталних пројеката веома је значајна</w:t>
      </w:r>
    </w:p>
    <w:p w:rsidR="006F628E" w:rsidRDefault="006F628E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благовремена припрема пројеката која подразумева да пројекат пролази кроз фазе</w:t>
      </w:r>
    </w:p>
    <w:p w:rsidR="006F628E" w:rsidRDefault="006F628E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предлагања пројектне идеје, прединвестиционе фазе, фазе укључивања у буџет и</w:t>
      </w:r>
    </w:p>
    <w:p w:rsidR="006F628E" w:rsidRDefault="006F628E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инвестиционе фазе. За финансирање прединвестиционе фазе пројектног циклуса капиталних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пројеката (израду претходне студије изводљивости, односно претходне студије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оправданости са генералним пројектом, као и студије изводљивости, односно студије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оправданости са идејним пројектом), директни корисници буџетских средстава планирају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 за израду инвестиционе документације за капиталне пројекте из своје надлежности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оквиру одређене програмске активности, односно у оквиру одређене позиције 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финансијском плану у минималном износу 5% од укупно планираних средстава за капиталне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издатке, у циљу припреме нових капиталних пројекта.</w:t>
      </w:r>
    </w:p>
    <w:p w:rsidR="006F628E" w:rsidRDefault="006F628E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Уколико корисници који нису планирали средства за израду пројектно-техничке</w:t>
      </w:r>
    </w:p>
    <w:p w:rsidR="006F628E" w:rsidRDefault="006F628E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документације и за ангажовање стручног надзора, дужни су да наведу који субјект</w:t>
      </w:r>
    </w:p>
    <w:p w:rsidR="006F628E" w:rsidRDefault="006F628E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(институција, организација, јавно предузеће итд.) је обезбедио средства за те издатке и у ком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износу или ће тај посао обављати у оквиру свог редовног пословања.</w:t>
      </w:r>
    </w:p>
    <w:p w:rsidR="00A534AE" w:rsidRDefault="00A534AE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34AE" w:rsidRPr="00D24FA5" w:rsidRDefault="00A534AE" w:rsidP="00B95B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A5">
        <w:rPr>
          <w:rFonts w:ascii="Times New Roman" w:hAnsi="Times New Roman" w:cs="Times New Roman"/>
          <w:b/>
          <w:sz w:val="24"/>
          <w:szCs w:val="24"/>
        </w:rPr>
        <w:t>Напомена:</w:t>
      </w:r>
      <w:r w:rsidR="00761270" w:rsidRPr="00D24FA5">
        <w:rPr>
          <w:rFonts w:ascii="Times New Roman" w:hAnsi="Times New Roman" w:cs="Times New Roman"/>
          <w:b/>
          <w:sz w:val="24"/>
          <w:szCs w:val="24"/>
        </w:rPr>
        <w:t>Обавезно се придржавати Уредбе о садржини,начину препреме и оцене,као</w:t>
      </w:r>
      <w:r w:rsidR="00D24FA5" w:rsidRPr="00D24FA5">
        <w:rPr>
          <w:rFonts w:ascii="Times New Roman" w:hAnsi="Times New Roman" w:cs="Times New Roman"/>
          <w:b/>
          <w:sz w:val="24"/>
          <w:szCs w:val="24"/>
        </w:rPr>
        <w:t xml:space="preserve"> и праћењу спровођења и извештавању о реализацији капиталних пројеката (''Сл.гласник РС'', бр.63 од 28.јуна 2017.године ) </w:t>
      </w:r>
      <w:r w:rsidR="00761270" w:rsidRPr="00D24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FA5" w:rsidRPr="00D24FA5">
        <w:rPr>
          <w:rFonts w:ascii="Times New Roman" w:hAnsi="Times New Roman" w:cs="Times New Roman"/>
          <w:b/>
          <w:sz w:val="24"/>
          <w:szCs w:val="24"/>
        </w:rPr>
        <w:t xml:space="preserve"> и Правилника о садржини,роковима и поступку достављања инвестиционе документације за капиталне пројекте (''Сл.гласник РС'', бр.18 од 9. марта 2018.године)</w:t>
      </w:r>
    </w:p>
    <w:p w:rsidR="001E772F" w:rsidRDefault="006F628E" w:rsidP="000F42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</w:p>
    <w:p w:rsidR="00AA1170" w:rsidRDefault="00AA1170" w:rsidP="00AA1170">
      <w:pPr>
        <w:pStyle w:val="ListParagraph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B95B38" w:rsidRDefault="00B95B38" w:rsidP="00AA1170">
      <w:pPr>
        <w:pStyle w:val="ListParagraph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B95B38" w:rsidRPr="00B95B38" w:rsidRDefault="00B95B38" w:rsidP="00AA1170">
      <w:pPr>
        <w:pStyle w:val="ListParagraph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AA1170" w:rsidRPr="0061376A" w:rsidRDefault="0061376A" w:rsidP="0061376A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6137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Поступак и динамика достављања</w:t>
      </w:r>
      <w:r w:rsidR="000F42BB" w:rsidRPr="0061376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61376A">
        <w:rPr>
          <w:rFonts w:ascii="Times New Roman" w:hAnsi="Times New Roman" w:cs="Times New Roman"/>
          <w:b/>
          <w:bCs/>
          <w:sz w:val="24"/>
          <w:szCs w:val="24"/>
        </w:rPr>
        <w:t>предлога  финансијског плана буџетских корисника</w:t>
      </w:r>
    </w:p>
    <w:p w:rsidR="00AA1170" w:rsidRDefault="00AA1170" w:rsidP="00AA1170">
      <w:pPr>
        <w:ind w:firstLine="708"/>
        <w:jc w:val="both"/>
        <w:rPr>
          <w:sz w:val="24"/>
          <w:szCs w:val="24"/>
        </w:rPr>
      </w:pPr>
    </w:p>
    <w:p w:rsidR="00F91943" w:rsidRPr="00F91943" w:rsidRDefault="00F91943" w:rsidP="00F919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9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Предлог финансијског плана састоји се од: </w:t>
      </w:r>
    </w:p>
    <w:p w:rsidR="00F91943" w:rsidRPr="00F91943" w:rsidRDefault="00F91943" w:rsidP="00F919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1) Обрасци за програмски буџет</w:t>
      </w:r>
    </w:p>
    <w:p w:rsidR="00F91943" w:rsidRPr="00F91943" w:rsidRDefault="00F91943" w:rsidP="00F919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2) Прилог 1- Преглед броја запослених и средства за плате</w:t>
      </w:r>
    </w:p>
    <w:p w:rsidR="00F91943" w:rsidRPr="00F91943" w:rsidRDefault="00F91943" w:rsidP="00F919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3) Прилог 2 - Преглед капиталних пројеката</w:t>
      </w:r>
    </w:p>
    <w:p w:rsidR="00F91943" w:rsidRPr="00F91943" w:rsidRDefault="00F91943" w:rsidP="00F919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4) Прилог 3 - Комисије и уговори</w:t>
      </w:r>
    </w:p>
    <w:p w:rsidR="00F91943" w:rsidRPr="00F91943" w:rsidRDefault="00F91943" w:rsidP="00F919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5) Табела прихода и примања</w:t>
      </w:r>
    </w:p>
    <w:p w:rsidR="00F91943" w:rsidRPr="00F91943" w:rsidRDefault="00F91943" w:rsidP="00F91943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6) Табела расхода и издатака</w:t>
      </w:r>
    </w:p>
    <w:p w:rsidR="00F91943" w:rsidRDefault="00F91943" w:rsidP="00F91943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r w:rsidRPr="000643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Детаљно писано образложење</w:t>
      </w:r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расхода и издатака, као и извора финансирања;</w:t>
      </w:r>
      <w:r w:rsidRPr="00F91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за све врсте трошкова и издатака (навести конкретно за шта ће се трошити средства, а не само називе конта)</w:t>
      </w:r>
    </w:p>
    <w:p w:rsidR="009C563A" w:rsidRDefault="009C563A" w:rsidP="00F91943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8)Образац за полугодишњи извештај о учинку програма за 2018.годину</w:t>
      </w:r>
    </w:p>
    <w:p w:rsidR="00275F3E" w:rsidRPr="00275F3E" w:rsidRDefault="00275F3E" w:rsidP="00F91943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9)Образац  за предлагање  идеје капиталног  пројекта –Образац КИ</w:t>
      </w:r>
    </w:p>
    <w:p w:rsidR="009C563A" w:rsidRPr="009C563A" w:rsidRDefault="009C563A" w:rsidP="00F91943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</w:p>
    <w:p w:rsidR="00F91943" w:rsidRPr="00F91943" w:rsidRDefault="00F91943" w:rsidP="00F919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943">
        <w:rPr>
          <w:rFonts w:ascii="Times New Roman" w:hAnsi="Times New Roman" w:cs="Times New Roman"/>
          <w:sz w:val="24"/>
          <w:szCs w:val="24"/>
        </w:rPr>
        <w:t xml:space="preserve">Чланом 112. Закона о буџетском систему предвиђено је да се од доношења одлука о буџету локалних власти за 2015. годину уводи програмски буџет. У том смислу постоји обавеза корисника буџета да </w:t>
      </w:r>
      <w:r w:rsidRPr="00F91943">
        <w:rPr>
          <w:rFonts w:ascii="Times New Roman" w:hAnsi="Times New Roman" w:cs="Times New Roman"/>
          <w:b/>
          <w:bCs/>
          <w:sz w:val="24"/>
          <w:szCs w:val="24"/>
        </w:rPr>
        <w:t>предл</w:t>
      </w:r>
      <w:r w:rsidR="005B54BE">
        <w:rPr>
          <w:rFonts w:ascii="Times New Roman" w:hAnsi="Times New Roman" w:cs="Times New Roman"/>
          <w:b/>
          <w:bCs/>
          <w:sz w:val="24"/>
          <w:szCs w:val="24"/>
        </w:rPr>
        <w:t>оге финансијских планова за 2019</w:t>
      </w:r>
      <w:r w:rsidRPr="00F91943">
        <w:rPr>
          <w:rFonts w:ascii="Times New Roman" w:hAnsi="Times New Roman" w:cs="Times New Roman"/>
          <w:b/>
          <w:bCs/>
          <w:sz w:val="24"/>
          <w:szCs w:val="24"/>
        </w:rPr>
        <w:t xml:space="preserve">. годину припреме (као саставног дела програма пословања/рада) по програмском моделу. </w:t>
      </w:r>
    </w:p>
    <w:p w:rsidR="00F237E0" w:rsidRDefault="00F91943" w:rsidP="00F9194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Упућујемо кориснике буџета Општине </w:t>
      </w:r>
      <w:r w:rsidRPr="00F9194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Мионица</w:t>
      </w:r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да се на интернет страници Министарства финансија и општине </w:t>
      </w:r>
      <w:r w:rsidRPr="00F9194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Мионица</w:t>
      </w:r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налази Упутство за израду програмског буџета које је потребно користити за припрему предл</w:t>
      </w:r>
      <w:r w:rsidR="009C563A">
        <w:rPr>
          <w:rFonts w:ascii="Times New Roman" w:hAnsi="Times New Roman" w:cs="Times New Roman"/>
          <w:color w:val="000000" w:themeColor="text1"/>
          <w:sz w:val="24"/>
          <w:szCs w:val="24"/>
        </w:rPr>
        <w:t>ога финансијских планова</w:t>
      </w:r>
      <w:r w:rsidRPr="00F919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1170" w:rsidRPr="00AB495B" w:rsidRDefault="008548AF" w:rsidP="00F237E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4F81BD" w:themeColor="accen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Упутство за</w:t>
      </w:r>
      <w:r w:rsidR="00F23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припрему буџета општине Миница за 2019.годину ,као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сви потребни обрасци корисници</w:t>
      </w:r>
      <w:r w:rsidR="00F23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5A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 </w:t>
      </w:r>
      <w:r w:rsidR="00F23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043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преузети на </w:t>
      </w:r>
      <w:r w:rsidR="00460438" w:rsidRPr="00AB495B">
        <w:rPr>
          <w:rFonts w:ascii="Times New Roman" w:hAnsi="Times New Roman" w:cs="Times New Roman"/>
          <w:bCs/>
          <w:color w:val="4F81BD" w:themeColor="accent1"/>
          <w:sz w:val="24"/>
          <w:szCs w:val="24"/>
          <w:u w:val="single"/>
          <w:lang w:val="sr-Cyrl-CS"/>
        </w:rPr>
        <w:t xml:space="preserve">адреси </w:t>
      </w:r>
      <w:hyperlink r:id="rId8" w:history="1">
        <w:r w:rsidR="00AB495B" w:rsidRPr="00AB495B">
          <w:rPr>
            <w:rStyle w:val="Hyperlink"/>
            <w:rFonts w:ascii="Times New Roman" w:hAnsi="Times New Roman" w:cs="Times New Roman"/>
            <w:bCs/>
            <w:color w:val="4F81BD" w:themeColor="accent1"/>
            <w:sz w:val="24"/>
            <w:szCs w:val="24"/>
          </w:rPr>
          <w:t>www.mionica.rs-</w:t>
        </w:r>
        <w:r w:rsidR="00AB495B" w:rsidRPr="00AB495B">
          <w:rPr>
            <w:rStyle w:val="Hyperlink"/>
            <w:rFonts w:ascii="Times New Roman" w:hAnsi="Times New Roman" w:cs="Times New Roman"/>
            <w:bCs/>
            <w:color w:val="4F81BD" w:themeColor="accent1"/>
            <w:sz w:val="24"/>
            <w:szCs w:val="24"/>
            <w:lang w:val="sr-Cyrl-CS"/>
          </w:rPr>
          <w:t>Документа-Буџет</w:t>
        </w:r>
        <w:r w:rsidR="00AB495B" w:rsidRPr="00AB495B">
          <w:rPr>
            <w:rStyle w:val="Hyperlink"/>
            <w:rFonts w:ascii="Times New Roman" w:hAnsi="Times New Roman" w:cs="Times New Roman"/>
            <w:bCs/>
            <w:color w:val="4F81BD" w:themeColor="accent1"/>
            <w:sz w:val="24"/>
            <w:szCs w:val="24"/>
          </w:rPr>
          <w:t>-Буџет</w:t>
        </w:r>
      </w:hyperlink>
      <w:r w:rsidR="00AB495B" w:rsidRPr="00AB495B">
        <w:rPr>
          <w:rFonts w:ascii="Times New Roman" w:hAnsi="Times New Roman" w:cs="Times New Roman"/>
          <w:bCs/>
          <w:color w:val="4F81BD" w:themeColor="accent1"/>
          <w:sz w:val="24"/>
          <w:szCs w:val="24"/>
          <w:u w:val="single"/>
        </w:rPr>
        <w:t xml:space="preserve"> 2018.</w:t>
      </w:r>
    </w:p>
    <w:p w:rsidR="009A5A59" w:rsidRPr="00F237E0" w:rsidRDefault="009A5A59" w:rsidP="00F237E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170" w:rsidRDefault="00460438" w:rsidP="00460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 за достављање предлога фина</w:t>
      </w:r>
      <w:r w:rsidR="009C563A">
        <w:rPr>
          <w:rFonts w:ascii="Times New Roman" w:hAnsi="Times New Roman" w:cs="Times New Roman"/>
          <w:b/>
          <w:sz w:val="24"/>
          <w:szCs w:val="24"/>
          <w:lang w:val="sr-Cyrl-CS"/>
        </w:rPr>
        <w:t>нсијских планова корисника је 01.09.2018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.године</w:t>
      </w:r>
    </w:p>
    <w:p w:rsidR="00460438" w:rsidRDefault="00460438" w:rsidP="00460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60438" w:rsidRDefault="00460438" w:rsidP="00460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A1170" w:rsidRPr="00280831" w:rsidRDefault="00AA1170" w:rsidP="00AA117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08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</w:t>
      </w:r>
      <w:r w:rsidR="004604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РУКОВОДИЛАЦ</w:t>
      </w:r>
      <w:r w:rsidRPr="002808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ОДЕЉЕЊА,</w:t>
      </w:r>
    </w:p>
    <w:p w:rsidR="00AA1170" w:rsidRPr="00AA1170" w:rsidRDefault="00AA1170" w:rsidP="00AA117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08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808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8083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80831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46043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Кристина Чарапић</w:t>
      </w:r>
    </w:p>
    <w:p w:rsidR="00A162A7" w:rsidRPr="00374601" w:rsidRDefault="00A162A7" w:rsidP="006931CC">
      <w:pPr>
        <w:tabs>
          <w:tab w:val="left" w:pos="625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A162A7" w:rsidRPr="00374601" w:rsidSect="00FB48DF">
      <w:footerReference w:type="default" r:id="rId9"/>
      <w:pgSz w:w="11906" w:h="16838" w:code="9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C7C" w:rsidRDefault="00596C7C" w:rsidP="00FB5204">
      <w:r>
        <w:separator/>
      </w:r>
    </w:p>
  </w:endnote>
  <w:endnote w:type="continuationSeparator" w:id="1">
    <w:p w:rsidR="00596C7C" w:rsidRDefault="00596C7C" w:rsidP="00FB5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287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7454" w:rsidRDefault="00C255E2">
        <w:pPr>
          <w:pStyle w:val="Footer"/>
          <w:jc w:val="right"/>
        </w:pPr>
        <w:fldSimple w:instr=" PAGE   \* MERGEFORMAT ">
          <w:r w:rsidR="007C5D4F">
            <w:rPr>
              <w:noProof/>
            </w:rPr>
            <w:t>1</w:t>
          </w:r>
        </w:fldSimple>
      </w:p>
    </w:sdtContent>
  </w:sdt>
  <w:p w:rsidR="005B7454" w:rsidRDefault="005B74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C7C" w:rsidRDefault="00596C7C" w:rsidP="00FB5204">
      <w:r>
        <w:separator/>
      </w:r>
    </w:p>
  </w:footnote>
  <w:footnote w:type="continuationSeparator" w:id="1">
    <w:p w:rsidR="00596C7C" w:rsidRDefault="00596C7C" w:rsidP="00FB5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8D9608"/>
    <w:multiLevelType w:val="hybridMultilevel"/>
    <w:tmpl w:val="5D15A2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8F9FA"/>
    <w:multiLevelType w:val="hybridMultilevel"/>
    <w:tmpl w:val="587D88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3A1F81"/>
    <w:multiLevelType w:val="hybridMultilevel"/>
    <w:tmpl w:val="032C2B10"/>
    <w:lvl w:ilvl="0" w:tplc="E2C07F3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B57F2"/>
    <w:multiLevelType w:val="hybridMultilevel"/>
    <w:tmpl w:val="3FECC026"/>
    <w:lvl w:ilvl="0" w:tplc="20F81450">
      <w:numFmt w:val="bullet"/>
      <w:lvlText w:val=""/>
      <w:lvlJc w:val="left"/>
      <w:pPr>
        <w:ind w:left="8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BD927D2"/>
    <w:multiLevelType w:val="hybridMultilevel"/>
    <w:tmpl w:val="C512EF2A"/>
    <w:lvl w:ilvl="0" w:tplc="20F81450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1440E78"/>
    <w:multiLevelType w:val="hybridMultilevel"/>
    <w:tmpl w:val="43AC7CBE"/>
    <w:lvl w:ilvl="0" w:tplc="F4F02394">
      <w:start w:val="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216472"/>
    <w:multiLevelType w:val="hybridMultilevel"/>
    <w:tmpl w:val="F04067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60E479F"/>
    <w:multiLevelType w:val="hybridMultilevel"/>
    <w:tmpl w:val="38D82AB2"/>
    <w:lvl w:ilvl="0" w:tplc="20F81450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0CF6911"/>
    <w:multiLevelType w:val="hybridMultilevel"/>
    <w:tmpl w:val="DC52E1B8"/>
    <w:lvl w:ilvl="0" w:tplc="241A000F">
      <w:start w:val="1"/>
      <w:numFmt w:val="decimal"/>
      <w:lvlText w:val="%1."/>
      <w:lvlJc w:val="left"/>
      <w:pPr>
        <w:ind w:left="1140" w:hanging="360"/>
      </w:p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854504A"/>
    <w:multiLevelType w:val="hybridMultilevel"/>
    <w:tmpl w:val="4C84DB1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558E770"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9EA428B"/>
    <w:multiLevelType w:val="hybridMultilevel"/>
    <w:tmpl w:val="32A0A3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E1D6B"/>
    <w:multiLevelType w:val="hybridMultilevel"/>
    <w:tmpl w:val="81B69A50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335C1B"/>
    <w:multiLevelType w:val="hybridMultilevel"/>
    <w:tmpl w:val="D9CE4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F0575"/>
    <w:multiLevelType w:val="hybridMultilevel"/>
    <w:tmpl w:val="5852D78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B5B14"/>
    <w:multiLevelType w:val="hybridMultilevel"/>
    <w:tmpl w:val="9BB04CEC"/>
    <w:lvl w:ilvl="0" w:tplc="75440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95B1F"/>
    <w:multiLevelType w:val="hybridMultilevel"/>
    <w:tmpl w:val="E5022E9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F51C1C"/>
    <w:multiLevelType w:val="hybridMultilevel"/>
    <w:tmpl w:val="4300B6F6"/>
    <w:lvl w:ilvl="0" w:tplc="20F81450"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46E15831"/>
    <w:multiLevelType w:val="hybridMultilevel"/>
    <w:tmpl w:val="142899FE"/>
    <w:lvl w:ilvl="0" w:tplc="27E2839C">
      <w:start w:val="5"/>
      <w:numFmt w:val="decimal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AB8A35"/>
    <w:multiLevelType w:val="hybridMultilevel"/>
    <w:tmpl w:val="E21CDA16"/>
    <w:lvl w:ilvl="0" w:tplc="2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0772E23"/>
    <w:multiLevelType w:val="hybridMultilevel"/>
    <w:tmpl w:val="5BCE5790"/>
    <w:lvl w:ilvl="0" w:tplc="20F81450">
      <w:numFmt w:val="bullet"/>
      <w:lvlText w:val=""/>
      <w:lvlJc w:val="left"/>
      <w:pPr>
        <w:ind w:left="8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536044CC"/>
    <w:multiLevelType w:val="hybridMultilevel"/>
    <w:tmpl w:val="CD723C08"/>
    <w:lvl w:ilvl="0" w:tplc="9A4AB48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74E5CE6"/>
    <w:multiLevelType w:val="hybridMultilevel"/>
    <w:tmpl w:val="0570E174"/>
    <w:lvl w:ilvl="0" w:tplc="04800E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5233F"/>
    <w:multiLevelType w:val="hybridMultilevel"/>
    <w:tmpl w:val="E3B06A32"/>
    <w:lvl w:ilvl="0" w:tplc="20F81450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7B135B04"/>
    <w:multiLevelType w:val="hybridMultilevel"/>
    <w:tmpl w:val="F5021342"/>
    <w:lvl w:ilvl="0" w:tplc="78FCEA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1"/>
  </w:num>
  <w:num w:numId="5">
    <w:abstractNumId w:val="15"/>
  </w:num>
  <w:num w:numId="6">
    <w:abstractNumId w:val="8"/>
  </w:num>
  <w:num w:numId="7">
    <w:abstractNumId w:val="23"/>
  </w:num>
  <w:num w:numId="8">
    <w:abstractNumId w:val="7"/>
  </w:num>
  <w:num w:numId="9">
    <w:abstractNumId w:val="13"/>
  </w:num>
  <w:num w:numId="10">
    <w:abstractNumId w:val="14"/>
  </w:num>
  <w:num w:numId="11">
    <w:abstractNumId w:val="20"/>
  </w:num>
  <w:num w:numId="12">
    <w:abstractNumId w:val="6"/>
  </w:num>
  <w:num w:numId="13">
    <w:abstractNumId w:val="3"/>
  </w:num>
  <w:num w:numId="14">
    <w:abstractNumId w:val="4"/>
  </w:num>
  <w:num w:numId="15">
    <w:abstractNumId w:val="22"/>
  </w:num>
  <w:num w:numId="16">
    <w:abstractNumId w:val="19"/>
  </w:num>
  <w:num w:numId="17">
    <w:abstractNumId w:val="16"/>
  </w:num>
  <w:num w:numId="18">
    <w:abstractNumId w:val="10"/>
  </w:num>
  <w:num w:numId="19">
    <w:abstractNumId w:val="5"/>
  </w:num>
  <w:num w:numId="20">
    <w:abstractNumId w:val="9"/>
  </w:num>
  <w:num w:numId="21">
    <w:abstractNumId w:val="17"/>
  </w:num>
  <w:num w:numId="22">
    <w:abstractNumId w:val="2"/>
  </w:num>
  <w:num w:numId="23">
    <w:abstractNumId w:val="1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D87"/>
    <w:rsid w:val="00002172"/>
    <w:rsid w:val="0000246B"/>
    <w:rsid w:val="000100BF"/>
    <w:rsid w:val="00021475"/>
    <w:rsid w:val="000245EF"/>
    <w:rsid w:val="00026606"/>
    <w:rsid w:val="000268E8"/>
    <w:rsid w:val="00027C2F"/>
    <w:rsid w:val="00034FD1"/>
    <w:rsid w:val="00054A78"/>
    <w:rsid w:val="00055070"/>
    <w:rsid w:val="00064377"/>
    <w:rsid w:val="000665CB"/>
    <w:rsid w:val="00086000"/>
    <w:rsid w:val="000A379F"/>
    <w:rsid w:val="000B4A8D"/>
    <w:rsid w:val="000C6286"/>
    <w:rsid w:val="000D0E71"/>
    <w:rsid w:val="000F42BB"/>
    <w:rsid w:val="001054F6"/>
    <w:rsid w:val="00122C37"/>
    <w:rsid w:val="00130DAD"/>
    <w:rsid w:val="001547C7"/>
    <w:rsid w:val="001607B3"/>
    <w:rsid w:val="0017198F"/>
    <w:rsid w:val="00171A02"/>
    <w:rsid w:val="00175FC4"/>
    <w:rsid w:val="00187FF2"/>
    <w:rsid w:val="00195975"/>
    <w:rsid w:val="001A45B1"/>
    <w:rsid w:val="001C37ED"/>
    <w:rsid w:val="001D3AC9"/>
    <w:rsid w:val="001D707F"/>
    <w:rsid w:val="001E07A7"/>
    <w:rsid w:val="001E772F"/>
    <w:rsid w:val="00205A29"/>
    <w:rsid w:val="00205B07"/>
    <w:rsid w:val="00211908"/>
    <w:rsid w:val="00216BA0"/>
    <w:rsid w:val="00221789"/>
    <w:rsid w:val="00223390"/>
    <w:rsid w:val="00223B84"/>
    <w:rsid w:val="00242156"/>
    <w:rsid w:val="00243057"/>
    <w:rsid w:val="00246225"/>
    <w:rsid w:val="00254AB9"/>
    <w:rsid w:val="00261569"/>
    <w:rsid w:val="00267A34"/>
    <w:rsid w:val="00274387"/>
    <w:rsid w:val="0027464B"/>
    <w:rsid w:val="00275F3E"/>
    <w:rsid w:val="00284BB3"/>
    <w:rsid w:val="002900B1"/>
    <w:rsid w:val="00296D42"/>
    <w:rsid w:val="002972FF"/>
    <w:rsid w:val="00297EB6"/>
    <w:rsid w:val="002A58C7"/>
    <w:rsid w:val="002D29D4"/>
    <w:rsid w:val="002D2E49"/>
    <w:rsid w:val="002D79CA"/>
    <w:rsid w:val="00305AF3"/>
    <w:rsid w:val="003078FD"/>
    <w:rsid w:val="00310343"/>
    <w:rsid w:val="003205CD"/>
    <w:rsid w:val="0032700C"/>
    <w:rsid w:val="00340645"/>
    <w:rsid w:val="00355FF0"/>
    <w:rsid w:val="003626D4"/>
    <w:rsid w:val="0036455C"/>
    <w:rsid w:val="003721A3"/>
    <w:rsid w:val="003736DE"/>
    <w:rsid w:val="003737D4"/>
    <w:rsid w:val="00374601"/>
    <w:rsid w:val="00382184"/>
    <w:rsid w:val="00383788"/>
    <w:rsid w:val="003A2FAA"/>
    <w:rsid w:val="003B47F9"/>
    <w:rsid w:val="003B654D"/>
    <w:rsid w:val="003D507A"/>
    <w:rsid w:val="003D55D1"/>
    <w:rsid w:val="003E3BC4"/>
    <w:rsid w:val="003F0A12"/>
    <w:rsid w:val="003F60D2"/>
    <w:rsid w:val="0040516E"/>
    <w:rsid w:val="0041016B"/>
    <w:rsid w:val="00415ED6"/>
    <w:rsid w:val="0043101E"/>
    <w:rsid w:val="004406B6"/>
    <w:rsid w:val="00460438"/>
    <w:rsid w:val="004662D3"/>
    <w:rsid w:val="004739E0"/>
    <w:rsid w:val="0048321A"/>
    <w:rsid w:val="00485C2B"/>
    <w:rsid w:val="00485D9E"/>
    <w:rsid w:val="00487029"/>
    <w:rsid w:val="00495B5D"/>
    <w:rsid w:val="00495C57"/>
    <w:rsid w:val="004A2A8A"/>
    <w:rsid w:val="004B2DB9"/>
    <w:rsid w:val="004B752F"/>
    <w:rsid w:val="004C26FB"/>
    <w:rsid w:val="004E561F"/>
    <w:rsid w:val="00505F22"/>
    <w:rsid w:val="00512365"/>
    <w:rsid w:val="00547F8C"/>
    <w:rsid w:val="00555D54"/>
    <w:rsid w:val="00572246"/>
    <w:rsid w:val="0058278F"/>
    <w:rsid w:val="00596A3D"/>
    <w:rsid w:val="00596C7C"/>
    <w:rsid w:val="005A2A2A"/>
    <w:rsid w:val="005B54BE"/>
    <w:rsid w:val="005B7454"/>
    <w:rsid w:val="005C3B95"/>
    <w:rsid w:val="005D0BD3"/>
    <w:rsid w:val="005E12FC"/>
    <w:rsid w:val="005E5409"/>
    <w:rsid w:val="005F1FFF"/>
    <w:rsid w:val="005F430C"/>
    <w:rsid w:val="006008D2"/>
    <w:rsid w:val="00603B00"/>
    <w:rsid w:val="00612090"/>
    <w:rsid w:val="0061376A"/>
    <w:rsid w:val="00620876"/>
    <w:rsid w:val="00632093"/>
    <w:rsid w:val="00647B2E"/>
    <w:rsid w:val="0065046E"/>
    <w:rsid w:val="00651A92"/>
    <w:rsid w:val="00652573"/>
    <w:rsid w:val="00653F44"/>
    <w:rsid w:val="0065605A"/>
    <w:rsid w:val="00664134"/>
    <w:rsid w:val="00667E29"/>
    <w:rsid w:val="0067192B"/>
    <w:rsid w:val="006768E0"/>
    <w:rsid w:val="0069138C"/>
    <w:rsid w:val="00691D63"/>
    <w:rsid w:val="006931CC"/>
    <w:rsid w:val="006E3DF8"/>
    <w:rsid w:val="006E6C94"/>
    <w:rsid w:val="006F1E78"/>
    <w:rsid w:val="006F28CB"/>
    <w:rsid w:val="006F628E"/>
    <w:rsid w:val="007019B2"/>
    <w:rsid w:val="00710B8D"/>
    <w:rsid w:val="007163E5"/>
    <w:rsid w:val="00725542"/>
    <w:rsid w:val="00747542"/>
    <w:rsid w:val="00753BBD"/>
    <w:rsid w:val="007547E0"/>
    <w:rsid w:val="00755A78"/>
    <w:rsid w:val="00755B90"/>
    <w:rsid w:val="00761270"/>
    <w:rsid w:val="0076292D"/>
    <w:rsid w:val="00784D55"/>
    <w:rsid w:val="00792C7A"/>
    <w:rsid w:val="0079397B"/>
    <w:rsid w:val="0079682A"/>
    <w:rsid w:val="007A19C1"/>
    <w:rsid w:val="007A7135"/>
    <w:rsid w:val="007B0B8B"/>
    <w:rsid w:val="007C4AC2"/>
    <w:rsid w:val="007C5D4F"/>
    <w:rsid w:val="007C6947"/>
    <w:rsid w:val="007D0190"/>
    <w:rsid w:val="007D3D91"/>
    <w:rsid w:val="007D6A44"/>
    <w:rsid w:val="007F5204"/>
    <w:rsid w:val="0082596B"/>
    <w:rsid w:val="008548AF"/>
    <w:rsid w:val="008717CB"/>
    <w:rsid w:val="00881522"/>
    <w:rsid w:val="008A1FFC"/>
    <w:rsid w:val="008A33C5"/>
    <w:rsid w:val="008A6C47"/>
    <w:rsid w:val="008B200B"/>
    <w:rsid w:val="008C02FD"/>
    <w:rsid w:val="008D7B77"/>
    <w:rsid w:val="008E437F"/>
    <w:rsid w:val="008F2013"/>
    <w:rsid w:val="008F640C"/>
    <w:rsid w:val="00910D20"/>
    <w:rsid w:val="00916068"/>
    <w:rsid w:val="00922FBF"/>
    <w:rsid w:val="00923688"/>
    <w:rsid w:val="00936BDF"/>
    <w:rsid w:val="00944F0B"/>
    <w:rsid w:val="00950C2F"/>
    <w:rsid w:val="00953362"/>
    <w:rsid w:val="00953641"/>
    <w:rsid w:val="0095650D"/>
    <w:rsid w:val="00965274"/>
    <w:rsid w:val="009872A3"/>
    <w:rsid w:val="009948D5"/>
    <w:rsid w:val="00997178"/>
    <w:rsid w:val="009A33BB"/>
    <w:rsid w:val="009A370D"/>
    <w:rsid w:val="009A4807"/>
    <w:rsid w:val="009A5A59"/>
    <w:rsid w:val="009B3DDB"/>
    <w:rsid w:val="009C10D4"/>
    <w:rsid w:val="009C563A"/>
    <w:rsid w:val="009D06D1"/>
    <w:rsid w:val="009D5071"/>
    <w:rsid w:val="009D6253"/>
    <w:rsid w:val="009D78F5"/>
    <w:rsid w:val="00A1082E"/>
    <w:rsid w:val="00A13E3C"/>
    <w:rsid w:val="00A162A7"/>
    <w:rsid w:val="00A32929"/>
    <w:rsid w:val="00A33AE4"/>
    <w:rsid w:val="00A34A0E"/>
    <w:rsid w:val="00A378ED"/>
    <w:rsid w:val="00A40843"/>
    <w:rsid w:val="00A41DD9"/>
    <w:rsid w:val="00A46827"/>
    <w:rsid w:val="00A50E57"/>
    <w:rsid w:val="00A5274F"/>
    <w:rsid w:val="00A534AE"/>
    <w:rsid w:val="00A8253C"/>
    <w:rsid w:val="00A91855"/>
    <w:rsid w:val="00AA1170"/>
    <w:rsid w:val="00AA1EA0"/>
    <w:rsid w:val="00AA26A5"/>
    <w:rsid w:val="00AA2F49"/>
    <w:rsid w:val="00AB0F92"/>
    <w:rsid w:val="00AB28BB"/>
    <w:rsid w:val="00AB495B"/>
    <w:rsid w:val="00B03F76"/>
    <w:rsid w:val="00B07D87"/>
    <w:rsid w:val="00B11BF9"/>
    <w:rsid w:val="00B17A6D"/>
    <w:rsid w:val="00B2648A"/>
    <w:rsid w:val="00B4067A"/>
    <w:rsid w:val="00B51392"/>
    <w:rsid w:val="00B759C2"/>
    <w:rsid w:val="00B759CB"/>
    <w:rsid w:val="00B95B38"/>
    <w:rsid w:val="00BB30AB"/>
    <w:rsid w:val="00BB3614"/>
    <w:rsid w:val="00BC5C43"/>
    <w:rsid w:val="00BD164A"/>
    <w:rsid w:val="00BD60CB"/>
    <w:rsid w:val="00BD6B4B"/>
    <w:rsid w:val="00BE0662"/>
    <w:rsid w:val="00BE631D"/>
    <w:rsid w:val="00C0603B"/>
    <w:rsid w:val="00C209AF"/>
    <w:rsid w:val="00C21D91"/>
    <w:rsid w:val="00C255E2"/>
    <w:rsid w:val="00C31182"/>
    <w:rsid w:val="00C60B25"/>
    <w:rsid w:val="00C61CA2"/>
    <w:rsid w:val="00C63A4D"/>
    <w:rsid w:val="00C80638"/>
    <w:rsid w:val="00C93FB0"/>
    <w:rsid w:val="00C9619D"/>
    <w:rsid w:val="00CA4221"/>
    <w:rsid w:val="00CB4C24"/>
    <w:rsid w:val="00CC2870"/>
    <w:rsid w:val="00CD38F9"/>
    <w:rsid w:val="00CD4B94"/>
    <w:rsid w:val="00CF24DA"/>
    <w:rsid w:val="00D24FA5"/>
    <w:rsid w:val="00D2564A"/>
    <w:rsid w:val="00D419D1"/>
    <w:rsid w:val="00D43DFE"/>
    <w:rsid w:val="00D5349E"/>
    <w:rsid w:val="00D567EE"/>
    <w:rsid w:val="00D61D67"/>
    <w:rsid w:val="00D62EB7"/>
    <w:rsid w:val="00D64F6B"/>
    <w:rsid w:val="00D8299D"/>
    <w:rsid w:val="00D83A39"/>
    <w:rsid w:val="00D85A5F"/>
    <w:rsid w:val="00D921E6"/>
    <w:rsid w:val="00D933FB"/>
    <w:rsid w:val="00DB3705"/>
    <w:rsid w:val="00DB6E8B"/>
    <w:rsid w:val="00DC401E"/>
    <w:rsid w:val="00DC42FA"/>
    <w:rsid w:val="00DC4FFF"/>
    <w:rsid w:val="00DE35A2"/>
    <w:rsid w:val="00E119F6"/>
    <w:rsid w:val="00E27C75"/>
    <w:rsid w:val="00E3232E"/>
    <w:rsid w:val="00E37A7C"/>
    <w:rsid w:val="00E4135E"/>
    <w:rsid w:val="00E43624"/>
    <w:rsid w:val="00E514BE"/>
    <w:rsid w:val="00E51800"/>
    <w:rsid w:val="00E557BB"/>
    <w:rsid w:val="00E57111"/>
    <w:rsid w:val="00E6261B"/>
    <w:rsid w:val="00E663F1"/>
    <w:rsid w:val="00E66C75"/>
    <w:rsid w:val="00E9184F"/>
    <w:rsid w:val="00E91C67"/>
    <w:rsid w:val="00E924B1"/>
    <w:rsid w:val="00EA69FA"/>
    <w:rsid w:val="00EB7D03"/>
    <w:rsid w:val="00EB7FFE"/>
    <w:rsid w:val="00EC4722"/>
    <w:rsid w:val="00EF1F1E"/>
    <w:rsid w:val="00F04E91"/>
    <w:rsid w:val="00F05CCC"/>
    <w:rsid w:val="00F2149C"/>
    <w:rsid w:val="00F237E0"/>
    <w:rsid w:val="00F248F3"/>
    <w:rsid w:val="00F454BF"/>
    <w:rsid w:val="00F61513"/>
    <w:rsid w:val="00F63966"/>
    <w:rsid w:val="00F77909"/>
    <w:rsid w:val="00F8180B"/>
    <w:rsid w:val="00F91943"/>
    <w:rsid w:val="00F974F2"/>
    <w:rsid w:val="00FA4399"/>
    <w:rsid w:val="00FA6B43"/>
    <w:rsid w:val="00FB48DF"/>
    <w:rsid w:val="00FB5204"/>
    <w:rsid w:val="00FB7274"/>
    <w:rsid w:val="00FE1E4C"/>
    <w:rsid w:val="00FE3A35"/>
    <w:rsid w:val="00FF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71"/>
  </w:style>
  <w:style w:type="paragraph" w:styleId="Heading4">
    <w:name w:val="heading 4"/>
    <w:basedOn w:val="Normal"/>
    <w:link w:val="Heading4Char"/>
    <w:uiPriority w:val="9"/>
    <w:qFormat/>
    <w:rsid w:val="006931C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01E"/>
    <w:pPr>
      <w:ind w:left="720"/>
      <w:contextualSpacing/>
    </w:pPr>
  </w:style>
  <w:style w:type="table" w:styleId="TableGrid">
    <w:name w:val="Table Grid"/>
    <w:basedOn w:val="TableNormal"/>
    <w:uiPriority w:val="59"/>
    <w:rsid w:val="00E11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52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204"/>
  </w:style>
  <w:style w:type="paragraph" w:styleId="Footer">
    <w:name w:val="footer"/>
    <w:basedOn w:val="Normal"/>
    <w:link w:val="FooterChar"/>
    <w:uiPriority w:val="99"/>
    <w:unhideWhenUsed/>
    <w:rsid w:val="00FB52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204"/>
  </w:style>
  <w:style w:type="paragraph" w:styleId="BalloonText">
    <w:name w:val="Balloon Text"/>
    <w:basedOn w:val="Normal"/>
    <w:link w:val="BalloonTextChar"/>
    <w:uiPriority w:val="99"/>
    <w:semiHidden/>
    <w:unhideWhenUsed/>
    <w:rsid w:val="00026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0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931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01">
    <w:name w:val="fontstyle01"/>
    <w:basedOn w:val="DefaultParagraphFont"/>
    <w:rsid w:val="0031034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7A6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6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nica.rs-&#1044;&#1086;&#1082;&#1091;&#1084;&#1077;&#1085;&#1090;&#1072;-&#1041;&#1091;&#1119;&#1077;&#1090;-&#1041;&#1091;&#1119;&#1077;&#10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1B57-CC8C-48B8-ADC0-A8CA03BA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10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Kristina</cp:lastModifiedBy>
  <cp:revision>62</cp:revision>
  <cp:lastPrinted>2018-07-30T13:25:00Z</cp:lastPrinted>
  <dcterms:created xsi:type="dcterms:W3CDTF">2018-07-18T13:05:00Z</dcterms:created>
  <dcterms:modified xsi:type="dcterms:W3CDTF">2018-07-30T13:25:00Z</dcterms:modified>
</cp:coreProperties>
</file>